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63BCD" w14:textId="77777777" w:rsidR="00DC6BF0" w:rsidRDefault="00DC6BF0" w:rsidP="00C4392E">
      <w:pPr>
        <w:jc w:val="center"/>
        <w:rPr>
          <w:b/>
          <w:sz w:val="28"/>
          <w:szCs w:val="28"/>
        </w:rPr>
      </w:pPr>
    </w:p>
    <w:p w14:paraId="495AF984" w14:textId="565EE4A4" w:rsidR="001050EE" w:rsidRPr="00C4392E" w:rsidRDefault="001050EE" w:rsidP="00C4392E">
      <w:pPr>
        <w:jc w:val="center"/>
        <w:rPr>
          <w:b/>
          <w:sz w:val="28"/>
          <w:szCs w:val="28"/>
        </w:rPr>
      </w:pPr>
      <w:r w:rsidRPr="00C4392E">
        <w:rPr>
          <w:b/>
          <w:sz w:val="28"/>
          <w:szCs w:val="28"/>
        </w:rPr>
        <w:t>VOLUME 2</w:t>
      </w:r>
    </w:p>
    <w:p w14:paraId="42232807" w14:textId="77777777" w:rsidR="00C4392E" w:rsidRPr="00C4392E" w:rsidRDefault="001050EE" w:rsidP="00C4392E">
      <w:pPr>
        <w:spacing w:before="360"/>
        <w:jc w:val="center"/>
        <w:rPr>
          <w:b/>
          <w:sz w:val="28"/>
          <w:szCs w:val="28"/>
        </w:rPr>
      </w:pPr>
      <w:bookmarkStart w:id="0" w:name="_Toc71357730"/>
      <w:bookmarkStart w:id="1" w:name="_Toc71357944"/>
      <w:bookmarkStart w:id="2" w:name="_Toc72056418"/>
      <w:bookmarkStart w:id="3" w:name="_Toc76894272"/>
      <w:bookmarkStart w:id="4" w:name="_Toc76894411"/>
      <w:r w:rsidRPr="00C4392E">
        <w:rPr>
          <w:b/>
          <w:sz w:val="28"/>
          <w:szCs w:val="28"/>
        </w:rPr>
        <w:t>SECTION 3</w:t>
      </w:r>
    </w:p>
    <w:p w14:paraId="59C35DAC" w14:textId="13A7EC30" w:rsidR="00340C6C" w:rsidRDefault="001050EE" w:rsidP="00C4392E">
      <w:pPr>
        <w:spacing w:after="360"/>
        <w:jc w:val="center"/>
        <w:rPr>
          <w:b/>
          <w:sz w:val="28"/>
          <w:szCs w:val="28"/>
        </w:rPr>
      </w:pPr>
      <w:r w:rsidRPr="00C4392E">
        <w:rPr>
          <w:b/>
          <w:sz w:val="28"/>
          <w:szCs w:val="28"/>
        </w:rPr>
        <w:t>SPECIAL CONDITIONS</w:t>
      </w:r>
      <w:bookmarkStart w:id="5" w:name="_Toc71357731"/>
      <w:bookmarkStart w:id="6" w:name="_Toc71357945"/>
      <w:bookmarkStart w:id="7" w:name="_Toc72056419"/>
      <w:bookmarkStart w:id="8" w:name="_Toc76894412"/>
      <w:bookmarkEnd w:id="0"/>
      <w:bookmarkEnd w:id="1"/>
      <w:bookmarkEnd w:id="2"/>
      <w:bookmarkEnd w:id="3"/>
      <w:bookmarkEnd w:id="4"/>
      <w:r w:rsidR="004626CD" w:rsidRPr="004626CD">
        <w:rPr>
          <w:b/>
          <w:sz w:val="28"/>
          <w:szCs w:val="28"/>
        </w:rPr>
        <w:t xml:space="preserve"> </w:t>
      </w:r>
      <w:r w:rsidR="004626CD">
        <w:rPr>
          <w:b/>
          <w:sz w:val="28"/>
          <w:szCs w:val="28"/>
        </w:rPr>
        <w:t>FOR EUROPEAN UNION EXTERNAL ACTIONS</w:t>
      </w:r>
    </w:p>
    <w:p w14:paraId="36ED741D" w14:textId="77777777" w:rsidR="00340C6C" w:rsidRDefault="001050EE" w:rsidP="00C4392E">
      <w:pPr>
        <w:spacing w:before="240" w:after="120"/>
        <w:outlineLvl w:val="0"/>
        <w:rPr>
          <w:szCs w:val="24"/>
        </w:rPr>
      </w:pPr>
      <w:r w:rsidRPr="00E725FE">
        <w:rPr>
          <w:b/>
          <w:bCs/>
          <w:sz w:val="28"/>
          <w:szCs w:val="28"/>
        </w:rPr>
        <w:t>CONTENTS</w:t>
      </w:r>
      <w:bookmarkEnd w:id="5"/>
      <w:bookmarkEnd w:id="6"/>
      <w:bookmarkEnd w:id="7"/>
      <w:bookmarkEnd w:id="8"/>
    </w:p>
    <w:p w14:paraId="4E8C5433" w14:textId="290E5CD5" w:rsidR="001050EE" w:rsidRPr="00F2670B" w:rsidRDefault="001050EE" w:rsidP="00C4392E">
      <w:pPr>
        <w:jc w:val="both"/>
        <w:outlineLvl w:val="0"/>
        <w:rPr>
          <w:sz w:val="22"/>
          <w:szCs w:val="22"/>
        </w:rPr>
      </w:pPr>
      <w:r w:rsidRPr="00F2670B">
        <w:rPr>
          <w:sz w:val="22"/>
          <w:szCs w:val="22"/>
        </w:rPr>
        <w:t xml:space="preserve">These conditions amplify and supplement the </w:t>
      </w:r>
      <w:r w:rsidR="00E806A3">
        <w:rPr>
          <w:sz w:val="22"/>
          <w:szCs w:val="22"/>
        </w:rPr>
        <w:t>g</w:t>
      </w:r>
      <w:r w:rsidRPr="00F2670B">
        <w:rPr>
          <w:sz w:val="22"/>
          <w:szCs w:val="22"/>
        </w:rPr>
        <w:t xml:space="preserve">eneral </w:t>
      </w:r>
      <w:r w:rsidR="00E806A3">
        <w:rPr>
          <w:sz w:val="22"/>
          <w:szCs w:val="22"/>
        </w:rPr>
        <w:t>c</w:t>
      </w:r>
      <w:r w:rsidRPr="00F2670B">
        <w:rPr>
          <w:sz w:val="22"/>
          <w:szCs w:val="22"/>
        </w:rPr>
        <w:t xml:space="preserve">onditions governing the </w:t>
      </w:r>
      <w:r w:rsidR="00E806A3">
        <w:rPr>
          <w:sz w:val="22"/>
          <w:szCs w:val="22"/>
        </w:rPr>
        <w:t>c</w:t>
      </w:r>
      <w:r w:rsidRPr="00F2670B">
        <w:rPr>
          <w:sz w:val="22"/>
          <w:szCs w:val="22"/>
        </w:rPr>
        <w:t xml:space="preserve">ontract. Unless the </w:t>
      </w:r>
      <w:r w:rsidR="00E806A3">
        <w:rPr>
          <w:sz w:val="22"/>
          <w:szCs w:val="22"/>
        </w:rPr>
        <w:t>s</w:t>
      </w:r>
      <w:r w:rsidRPr="00F2670B">
        <w:rPr>
          <w:sz w:val="22"/>
          <w:szCs w:val="22"/>
        </w:rPr>
        <w:t xml:space="preserve">pecial </w:t>
      </w:r>
      <w:r w:rsidR="00E806A3">
        <w:rPr>
          <w:sz w:val="22"/>
          <w:szCs w:val="22"/>
        </w:rPr>
        <w:t>c</w:t>
      </w:r>
      <w:r w:rsidRPr="00F2670B">
        <w:rPr>
          <w:sz w:val="22"/>
          <w:szCs w:val="22"/>
        </w:rPr>
        <w:t>onditions provide otherwise, th</w:t>
      </w:r>
      <w:r w:rsidR="00EB5D04" w:rsidRPr="00F2670B">
        <w:rPr>
          <w:sz w:val="22"/>
          <w:szCs w:val="22"/>
        </w:rPr>
        <w:t>e</w:t>
      </w:r>
      <w:r w:rsidRPr="00F2670B">
        <w:rPr>
          <w:sz w:val="22"/>
          <w:szCs w:val="22"/>
        </w:rPr>
        <w:t xml:space="preserve"> </w:t>
      </w:r>
      <w:r w:rsidR="00E806A3">
        <w:rPr>
          <w:sz w:val="22"/>
          <w:szCs w:val="22"/>
        </w:rPr>
        <w:t>g</w:t>
      </w:r>
      <w:r w:rsidRPr="00F2670B">
        <w:rPr>
          <w:sz w:val="22"/>
          <w:szCs w:val="22"/>
        </w:rPr>
        <w:t xml:space="preserve">eneral </w:t>
      </w:r>
      <w:r w:rsidR="00E806A3">
        <w:rPr>
          <w:sz w:val="22"/>
          <w:szCs w:val="22"/>
        </w:rPr>
        <w:t>c</w:t>
      </w:r>
      <w:r w:rsidRPr="00F2670B">
        <w:rPr>
          <w:sz w:val="22"/>
          <w:szCs w:val="22"/>
        </w:rPr>
        <w:t xml:space="preserve">onditions remain fully applicable. The numbering of the </w:t>
      </w:r>
      <w:r w:rsidR="00E806A3">
        <w:rPr>
          <w:sz w:val="22"/>
          <w:szCs w:val="22"/>
        </w:rPr>
        <w:t>a</w:t>
      </w:r>
      <w:r w:rsidRPr="00F2670B">
        <w:rPr>
          <w:sz w:val="22"/>
          <w:szCs w:val="22"/>
        </w:rPr>
        <w:t xml:space="preserve">rticles of the </w:t>
      </w:r>
      <w:r w:rsidR="00E806A3">
        <w:rPr>
          <w:sz w:val="22"/>
          <w:szCs w:val="22"/>
        </w:rPr>
        <w:t>s</w:t>
      </w:r>
      <w:r w:rsidRPr="00F2670B">
        <w:rPr>
          <w:sz w:val="22"/>
          <w:szCs w:val="22"/>
        </w:rPr>
        <w:t xml:space="preserve">pecial </w:t>
      </w:r>
      <w:r w:rsidR="00E806A3">
        <w:rPr>
          <w:sz w:val="22"/>
          <w:szCs w:val="22"/>
        </w:rPr>
        <w:t>c</w:t>
      </w:r>
      <w:r w:rsidRPr="00F2670B">
        <w:rPr>
          <w:sz w:val="22"/>
          <w:szCs w:val="22"/>
        </w:rPr>
        <w:t xml:space="preserve">onditions is not consecutive but follows the numbering of the </w:t>
      </w:r>
      <w:r w:rsidR="00E806A3">
        <w:rPr>
          <w:sz w:val="22"/>
          <w:szCs w:val="22"/>
        </w:rPr>
        <w:t>g</w:t>
      </w:r>
      <w:r w:rsidRPr="00F2670B">
        <w:rPr>
          <w:sz w:val="22"/>
          <w:szCs w:val="22"/>
        </w:rPr>
        <w:t xml:space="preserve">eneral </w:t>
      </w:r>
      <w:r w:rsidR="00E806A3">
        <w:rPr>
          <w:sz w:val="22"/>
          <w:szCs w:val="22"/>
        </w:rPr>
        <w:t>c</w:t>
      </w:r>
      <w:r w:rsidRPr="00F2670B">
        <w:rPr>
          <w:sz w:val="22"/>
          <w:szCs w:val="22"/>
        </w:rPr>
        <w:t xml:space="preserve">onditions. </w:t>
      </w:r>
      <w:r w:rsidR="004626CD" w:rsidRPr="004626CD">
        <w:rPr>
          <w:sz w:val="22"/>
          <w:szCs w:val="22"/>
        </w:rPr>
        <w:t>Exceptionally, and with the approval of the competent European Commission departments, other clauses can be indicated to cover particular situations.</w:t>
      </w:r>
      <w:r w:rsidR="004626CD">
        <w:rPr>
          <w:sz w:val="22"/>
          <w:szCs w:val="22"/>
        </w:rPr>
        <w:t xml:space="preserve"> </w:t>
      </w:r>
    </w:p>
    <w:p w14:paraId="736F0D72" w14:textId="77777777" w:rsidR="001466DD" w:rsidRDefault="001466DD" w:rsidP="00F162E3">
      <w:pPr>
        <w:jc w:val="both"/>
        <w:rPr>
          <w:b/>
          <w:sz w:val="22"/>
          <w:szCs w:val="22"/>
        </w:rPr>
      </w:pPr>
    </w:p>
    <w:p w14:paraId="6ADC0B6D" w14:textId="77777777" w:rsidR="00016716" w:rsidRDefault="00016716" w:rsidP="00016716">
      <w:pPr>
        <w:ind w:left="1276" w:hanging="1276"/>
        <w:outlineLvl w:val="0"/>
        <w:rPr>
          <w:b/>
          <w:szCs w:val="24"/>
        </w:rPr>
      </w:pPr>
      <w:r>
        <w:rPr>
          <w:b/>
          <w:szCs w:val="24"/>
        </w:rPr>
        <w:t>Contract value</w:t>
      </w:r>
    </w:p>
    <w:p w14:paraId="16AF3D20" w14:textId="77777777" w:rsidR="00016716" w:rsidRDefault="00016716" w:rsidP="00016716">
      <w:pPr>
        <w:ind w:left="1276" w:hanging="1276"/>
        <w:outlineLvl w:val="0"/>
        <w:rPr>
          <w:b/>
          <w:szCs w:val="24"/>
        </w:rPr>
      </w:pPr>
    </w:p>
    <w:p w14:paraId="5BC8B716" w14:textId="77777777" w:rsidR="00016716" w:rsidRDefault="00016716" w:rsidP="00E51794">
      <w:pPr>
        <w:jc w:val="both"/>
        <w:outlineLvl w:val="0"/>
        <w:rPr>
          <w:sz w:val="22"/>
          <w:szCs w:val="22"/>
        </w:rPr>
      </w:pPr>
      <w:r w:rsidRPr="00CE0AEE">
        <w:rPr>
          <w:sz w:val="22"/>
          <w:szCs w:val="22"/>
        </w:rPr>
        <w:t>The contracting authority hereby agrees to pay to the contractor, in consideration of the execution and</w:t>
      </w:r>
      <w:r>
        <w:rPr>
          <w:sz w:val="22"/>
          <w:szCs w:val="22"/>
        </w:rPr>
        <w:t xml:space="preserve"> </w:t>
      </w:r>
      <w:r w:rsidRPr="00CE0AEE">
        <w:rPr>
          <w:sz w:val="22"/>
          <w:szCs w:val="22"/>
        </w:rPr>
        <w:t>completion of the works and remedying of defects therein</w:t>
      </w:r>
      <w:r>
        <w:rPr>
          <w:sz w:val="22"/>
          <w:szCs w:val="22"/>
        </w:rPr>
        <w:t>,</w:t>
      </w:r>
      <w:r w:rsidRPr="00CE0AEE">
        <w:rPr>
          <w:sz w:val="22"/>
          <w:szCs w:val="22"/>
        </w:rPr>
        <w:t xml:space="preserve"> the amount of the contract value mention</w:t>
      </w:r>
      <w:r>
        <w:rPr>
          <w:sz w:val="22"/>
          <w:szCs w:val="22"/>
        </w:rPr>
        <w:t>ed</w:t>
      </w:r>
      <w:r w:rsidRPr="00CE0AEE">
        <w:rPr>
          <w:sz w:val="22"/>
          <w:szCs w:val="22"/>
        </w:rPr>
        <w:t xml:space="preserve"> in article 2 of the Main Conditions </w:t>
      </w:r>
      <w:r w:rsidRPr="00E725FE">
        <w:rPr>
          <w:sz w:val="22"/>
          <w:szCs w:val="22"/>
        </w:rPr>
        <w:t xml:space="preserve">or such other sum as may become payable under the provisions of the </w:t>
      </w:r>
      <w:r>
        <w:rPr>
          <w:sz w:val="22"/>
          <w:szCs w:val="22"/>
        </w:rPr>
        <w:t>C</w:t>
      </w:r>
      <w:r w:rsidRPr="00E725FE">
        <w:rPr>
          <w:sz w:val="22"/>
          <w:szCs w:val="22"/>
        </w:rPr>
        <w:t xml:space="preserve">ontract at the times and in the manner prescribed by the </w:t>
      </w:r>
      <w:r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  <w:r>
        <w:rPr>
          <w:sz w:val="22"/>
          <w:szCs w:val="22"/>
        </w:rPr>
        <w:t xml:space="preserve"> </w:t>
      </w:r>
      <w:r w:rsidRPr="00E725FE">
        <w:rPr>
          <w:sz w:val="22"/>
          <w:szCs w:val="22"/>
        </w:rPr>
        <w:t xml:space="preserve">VAT </w:t>
      </w:r>
      <w:r>
        <w:rPr>
          <w:sz w:val="22"/>
          <w:szCs w:val="22"/>
        </w:rPr>
        <w:t>wi</w:t>
      </w:r>
      <w:r w:rsidRPr="00E725FE">
        <w:rPr>
          <w:sz w:val="22"/>
          <w:szCs w:val="22"/>
        </w:rPr>
        <w:t>ll be paid in compliance with the binding regulations, national law and international agreements concerning the execution of the pro</w:t>
      </w:r>
      <w:r>
        <w:rPr>
          <w:sz w:val="22"/>
          <w:szCs w:val="22"/>
        </w:rPr>
        <w:t>ject</w:t>
      </w:r>
      <w:r w:rsidRPr="00E725FE">
        <w:rPr>
          <w:sz w:val="22"/>
          <w:szCs w:val="22"/>
        </w:rPr>
        <w:t>.</w:t>
      </w:r>
    </w:p>
    <w:p w14:paraId="3E24A541" w14:textId="77777777" w:rsidR="00016716" w:rsidRDefault="00016716" w:rsidP="00016716">
      <w:pPr>
        <w:outlineLvl w:val="0"/>
        <w:rPr>
          <w:sz w:val="22"/>
          <w:szCs w:val="22"/>
        </w:rPr>
      </w:pPr>
    </w:p>
    <w:p w14:paraId="0C502378" w14:textId="77777777" w:rsidR="00016716" w:rsidRDefault="00016716" w:rsidP="00016716">
      <w:pPr>
        <w:ind w:left="1276" w:hanging="1276"/>
        <w:outlineLvl w:val="0"/>
        <w:rPr>
          <w:b/>
          <w:szCs w:val="24"/>
        </w:rPr>
      </w:pPr>
      <w:r w:rsidRPr="00C05EBE">
        <w:rPr>
          <w:b/>
          <w:szCs w:val="24"/>
        </w:rPr>
        <w:t>Order of precedence of contract documents</w:t>
      </w:r>
    </w:p>
    <w:p w14:paraId="796D7A5F" w14:textId="77777777" w:rsidR="00016716" w:rsidRPr="006120F3" w:rsidRDefault="00016716" w:rsidP="00016716">
      <w:pPr>
        <w:ind w:left="1276" w:hanging="1276"/>
        <w:outlineLvl w:val="0"/>
        <w:rPr>
          <w:b/>
          <w:szCs w:val="24"/>
        </w:rPr>
      </w:pPr>
    </w:p>
    <w:p w14:paraId="77FC8F29" w14:textId="77777777" w:rsidR="00016716" w:rsidRPr="00E725FE" w:rsidRDefault="00016716" w:rsidP="00515888">
      <w:pPr>
        <w:spacing w:after="120"/>
        <w:ind w:right="-45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following documents shall be deemed to form and be read and construed as part of this </w:t>
      </w:r>
      <w:r>
        <w:rPr>
          <w:sz w:val="22"/>
          <w:szCs w:val="22"/>
        </w:rPr>
        <w:t>c</w:t>
      </w:r>
      <w:r w:rsidRPr="00E725FE">
        <w:rPr>
          <w:sz w:val="22"/>
          <w:szCs w:val="22"/>
        </w:rPr>
        <w:t>ontract, in the following order of precedence:</w:t>
      </w:r>
    </w:p>
    <w:p w14:paraId="60DC4ABA" w14:textId="77777777" w:rsidR="00016716" w:rsidRPr="00E725FE" w:rsidRDefault="00016716" w:rsidP="00016716">
      <w:pPr>
        <w:numPr>
          <w:ilvl w:val="0"/>
          <w:numId w:val="13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>
        <w:rPr>
          <w:sz w:val="22"/>
          <w:szCs w:val="22"/>
        </w:rPr>
        <w:t>c</w:t>
      </w:r>
      <w:r w:rsidRPr="00E725FE">
        <w:rPr>
          <w:sz w:val="22"/>
          <w:szCs w:val="22"/>
        </w:rPr>
        <w:t>ontract,</w:t>
      </w:r>
    </w:p>
    <w:p w14:paraId="7E2B9CE8" w14:textId="77777777" w:rsidR="00016716" w:rsidRPr="00E725FE" w:rsidRDefault="00016716" w:rsidP="00016716">
      <w:pPr>
        <w:numPr>
          <w:ilvl w:val="0"/>
          <w:numId w:val="13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>
        <w:rPr>
          <w:sz w:val="22"/>
          <w:szCs w:val="22"/>
        </w:rPr>
        <w:t>s</w:t>
      </w:r>
      <w:r w:rsidRPr="00E725FE">
        <w:rPr>
          <w:sz w:val="22"/>
          <w:szCs w:val="22"/>
        </w:rPr>
        <w:t xml:space="preserve">pecial </w:t>
      </w:r>
      <w:r>
        <w:rPr>
          <w:sz w:val="22"/>
          <w:szCs w:val="22"/>
        </w:rPr>
        <w:t>c</w:t>
      </w:r>
      <w:r w:rsidRPr="00E725FE">
        <w:rPr>
          <w:sz w:val="22"/>
          <w:szCs w:val="22"/>
        </w:rPr>
        <w:t>onditions,</w:t>
      </w:r>
    </w:p>
    <w:p w14:paraId="6A2F5A3A" w14:textId="77777777" w:rsidR="00016716" w:rsidRPr="002F0C4E" w:rsidRDefault="00016716" w:rsidP="00016716">
      <w:pPr>
        <w:numPr>
          <w:ilvl w:val="0"/>
          <w:numId w:val="13"/>
        </w:numPr>
        <w:ind w:left="993" w:right="-56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</w:t>
      </w:r>
      <w:r>
        <w:rPr>
          <w:sz w:val="22"/>
          <w:szCs w:val="22"/>
        </w:rPr>
        <w:t>g</w:t>
      </w:r>
      <w:r w:rsidRPr="002F0C4E">
        <w:rPr>
          <w:sz w:val="22"/>
          <w:szCs w:val="22"/>
        </w:rPr>
        <w:t xml:space="preserve">eneral </w:t>
      </w:r>
      <w:r>
        <w:rPr>
          <w:sz w:val="22"/>
          <w:szCs w:val="22"/>
        </w:rPr>
        <w:t>c</w:t>
      </w:r>
      <w:r w:rsidRPr="002F0C4E">
        <w:rPr>
          <w:sz w:val="22"/>
          <w:szCs w:val="22"/>
        </w:rPr>
        <w:t>onditions,</w:t>
      </w:r>
    </w:p>
    <w:p w14:paraId="35A55D48" w14:textId="77777777" w:rsidR="00016716" w:rsidRPr="002F0C4E" w:rsidRDefault="00016716" w:rsidP="00016716">
      <w:pPr>
        <w:numPr>
          <w:ilvl w:val="0"/>
          <w:numId w:val="13"/>
        </w:numPr>
        <w:ind w:left="993" w:right="-567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>
        <w:rPr>
          <w:sz w:val="22"/>
          <w:szCs w:val="22"/>
        </w:rPr>
        <w:t>t</w:t>
      </w:r>
      <w:r w:rsidRPr="002F0C4E">
        <w:rPr>
          <w:sz w:val="22"/>
          <w:szCs w:val="22"/>
        </w:rPr>
        <w:t xml:space="preserve">echnical </w:t>
      </w:r>
      <w:r w:rsidRPr="002F0C4E">
        <w:t xml:space="preserve">and/or </w:t>
      </w:r>
      <w:r>
        <w:t>p</w:t>
      </w:r>
      <w:r w:rsidRPr="002F0C4E">
        <w:t xml:space="preserve">erformance </w:t>
      </w:r>
      <w:r>
        <w:rPr>
          <w:sz w:val="22"/>
          <w:szCs w:val="22"/>
        </w:rPr>
        <w:t>s</w:t>
      </w:r>
      <w:r w:rsidRPr="002F0C4E">
        <w:rPr>
          <w:sz w:val="22"/>
          <w:szCs w:val="22"/>
        </w:rPr>
        <w:t>pecifications,</w:t>
      </w:r>
    </w:p>
    <w:p w14:paraId="23F85073" w14:textId="77777777" w:rsidR="00016716" w:rsidRPr="002F0C4E" w:rsidRDefault="00016716" w:rsidP="00016716">
      <w:pPr>
        <w:numPr>
          <w:ilvl w:val="0"/>
          <w:numId w:val="13"/>
        </w:numPr>
        <w:ind w:left="993" w:right="-567"/>
        <w:jc w:val="both"/>
        <w:rPr>
          <w:sz w:val="22"/>
          <w:szCs w:val="22"/>
        </w:rPr>
      </w:pPr>
      <w:r w:rsidRPr="002F0C4E">
        <w:rPr>
          <w:sz w:val="22"/>
          <w:szCs w:val="22"/>
        </w:rPr>
        <w:t xml:space="preserve">the </w:t>
      </w:r>
      <w:r>
        <w:rPr>
          <w:sz w:val="22"/>
          <w:szCs w:val="22"/>
        </w:rPr>
        <w:t>d</w:t>
      </w:r>
      <w:r w:rsidRPr="002F0C4E">
        <w:rPr>
          <w:sz w:val="22"/>
          <w:szCs w:val="22"/>
        </w:rPr>
        <w:t xml:space="preserve">esign </w:t>
      </w:r>
      <w:r>
        <w:rPr>
          <w:sz w:val="22"/>
          <w:szCs w:val="22"/>
        </w:rPr>
        <w:t>d</w:t>
      </w:r>
      <w:r w:rsidRPr="002F0C4E">
        <w:rPr>
          <w:sz w:val="22"/>
          <w:szCs w:val="22"/>
        </w:rPr>
        <w:t>ocumentation (drawings),</w:t>
      </w:r>
    </w:p>
    <w:p w14:paraId="08331596" w14:textId="77777777" w:rsidR="00016716" w:rsidRPr="0092758C" w:rsidRDefault="00016716" w:rsidP="00016716">
      <w:pPr>
        <w:numPr>
          <w:ilvl w:val="0"/>
          <w:numId w:val="13"/>
        </w:numPr>
        <w:ind w:left="993" w:right="-45"/>
        <w:jc w:val="both"/>
        <w:rPr>
          <w:sz w:val="22"/>
          <w:szCs w:val="22"/>
        </w:rPr>
      </w:pPr>
      <w:r w:rsidRPr="002F0C4E">
        <w:rPr>
          <w:sz w:val="22"/>
          <w:szCs w:val="22"/>
        </w:rPr>
        <w:t>the breakdown of</w:t>
      </w:r>
      <w:r w:rsidRPr="0092758C">
        <w:rPr>
          <w:sz w:val="22"/>
          <w:szCs w:val="22"/>
        </w:rPr>
        <w:t xml:space="preserve"> lump-sum price,</w:t>
      </w:r>
    </w:p>
    <w:p w14:paraId="2ACFCBBF" w14:textId="77777777" w:rsidR="00016716" w:rsidRPr="00E725FE" w:rsidRDefault="00016716" w:rsidP="00016716">
      <w:pPr>
        <w:numPr>
          <w:ilvl w:val="0"/>
          <w:numId w:val="13"/>
        </w:numPr>
        <w:ind w:left="993" w:right="-567"/>
        <w:jc w:val="both"/>
        <w:rPr>
          <w:sz w:val="22"/>
          <w:szCs w:val="22"/>
        </w:rPr>
      </w:pPr>
      <w:r>
        <w:rPr>
          <w:sz w:val="22"/>
          <w:szCs w:val="22"/>
        </w:rPr>
        <w:t>the tender,</w:t>
      </w:r>
    </w:p>
    <w:p w14:paraId="00C83755" w14:textId="77777777" w:rsidR="00016716" w:rsidRPr="00E725FE" w:rsidRDefault="00016716" w:rsidP="00016716">
      <w:pPr>
        <w:numPr>
          <w:ilvl w:val="0"/>
          <w:numId w:val="13"/>
        </w:numPr>
        <w:spacing w:after="240"/>
        <w:ind w:left="992" w:right="-567" w:hanging="357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any other documents forming part of the </w:t>
      </w:r>
      <w:r>
        <w:rPr>
          <w:sz w:val="22"/>
          <w:szCs w:val="22"/>
        </w:rPr>
        <w:t>c</w:t>
      </w:r>
      <w:r w:rsidRPr="00E725FE">
        <w:rPr>
          <w:sz w:val="22"/>
          <w:szCs w:val="22"/>
        </w:rPr>
        <w:t>ontract.</w:t>
      </w:r>
    </w:p>
    <w:p w14:paraId="03C65136" w14:textId="77777777" w:rsidR="00016716" w:rsidRPr="00E725FE" w:rsidRDefault="00016716" w:rsidP="00016716">
      <w:pPr>
        <w:spacing w:after="240"/>
        <w:ind w:right="-45"/>
        <w:jc w:val="both"/>
        <w:rPr>
          <w:sz w:val="22"/>
          <w:szCs w:val="22"/>
        </w:rPr>
      </w:pPr>
      <w:r w:rsidRPr="004677C7">
        <w:rPr>
          <w:sz w:val="22"/>
          <w:szCs w:val="22"/>
        </w:rPr>
        <w:t xml:space="preserve">The various documents making up the contract shall be deemed to be mutually explanatory; in cases of ambiguity or divergence, they shall prevail in the order in which they appear above. </w:t>
      </w:r>
      <w:r w:rsidRPr="00E725FE">
        <w:rPr>
          <w:sz w:val="22"/>
          <w:szCs w:val="22"/>
        </w:rPr>
        <w:t xml:space="preserve">Addenda shall have the order of precedence of the document they are </w:t>
      </w:r>
      <w:r>
        <w:rPr>
          <w:sz w:val="22"/>
          <w:szCs w:val="22"/>
        </w:rPr>
        <w:t>a</w:t>
      </w:r>
      <w:r w:rsidRPr="00E725FE">
        <w:rPr>
          <w:sz w:val="22"/>
          <w:szCs w:val="22"/>
        </w:rPr>
        <w:t>m</w:t>
      </w:r>
      <w:r>
        <w:rPr>
          <w:sz w:val="22"/>
          <w:szCs w:val="22"/>
        </w:rPr>
        <w:t>ending</w:t>
      </w:r>
      <w:r w:rsidRPr="00E725FE">
        <w:rPr>
          <w:sz w:val="22"/>
          <w:szCs w:val="22"/>
        </w:rPr>
        <w:t>.</w:t>
      </w:r>
    </w:p>
    <w:p w14:paraId="299CC8AD" w14:textId="49DA92DC" w:rsidR="004A2BDD" w:rsidRPr="00515888" w:rsidRDefault="004A2BDD" w:rsidP="00515888">
      <w:pPr>
        <w:spacing w:after="240"/>
        <w:ind w:left="567" w:right="-45" w:hanging="567"/>
        <w:jc w:val="both"/>
        <w:rPr>
          <w:b/>
          <w:bCs/>
          <w:szCs w:val="24"/>
        </w:rPr>
      </w:pPr>
      <w:r w:rsidRPr="00515888">
        <w:rPr>
          <w:b/>
          <w:bCs/>
          <w:szCs w:val="24"/>
        </w:rPr>
        <w:t>Other conditions applying to the contract</w:t>
      </w:r>
    </w:p>
    <w:p w14:paraId="1E0BBFDE" w14:textId="7CECF5C0" w:rsidR="00DA6FB1" w:rsidRPr="00DD74D3" w:rsidRDefault="00DA6FB1" w:rsidP="00515888">
      <w:pPr>
        <w:spacing w:after="240"/>
        <w:ind w:right="-45"/>
        <w:jc w:val="both"/>
        <w:rPr>
          <w:sz w:val="22"/>
          <w:szCs w:val="22"/>
        </w:rPr>
      </w:pPr>
      <w:r w:rsidRPr="00DD74D3">
        <w:rPr>
          <w:sz w:val="22"/>
          <w:szCs w:val="22"/>
        </w:rPr>
        <w:t xml:space="preserve">The </w:t>
      </w:r>
      <w:r>
        <w:rPr>
          <w:sz w:val="22"/>
          <w:szCs w:val="22"/>
        </w:rPr>
        <w:t>p</w:t>
      </w:r>
      <w:r w:rsidRPr="00DD74D3">
        <w:rPr>
          <w:sz w:val="22"/>
          <w:szCs w:val="22"/>
        </w:rPr>
        <w:t>arties agree to the set of rights and obligations described in the attached contractual documents, with the following main characteristics, further detailed in the attachments: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5972"/>
        <w:gridCol w:w="1047"/>
      </w:tblGrid>
      <w:tr w:rsidR="00DA6FB1" w:rsidRPr="00DD74D3" w14:paraId="134351E9" w14:textId="77777777" w:rsidTr="00992F3B">
        <w:tc>
          <w:tcPr>
            <w:tcW w:w="360" w:type="dxa"/>
            <w:shd w:val="clear" w:color="auto" w:fill="auto"/>
          </w:tcPr>
          <w:p w14:paraId="43CC62C4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7412" w:type="dxa"/>
            <w:gridSpan w:val="2"/>
            <w:shd w:val="clear" w:color="auto" w:fill="auto"/>
          </w:tcPr>
          <w:p w14:paraId="12F5DF1C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</w:p>
          <w:p w14:paraId="7D7CE9D8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14:paraId="3C23F7E8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  <w:p w14:paraId="4AEA639C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Contract-article:</w:t>
            </w:r>
          </w:p>
          <w:p w14:paraId="1CFC39D5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</w:tr>
      <w:tr w:rsidR="00DA6FB1" w:rsidRPr="00DD74D3" w14:paraId="63BC9F2E" w14:textId="77777777" w:rsidTr="00992F3B">
        <w:tc>
          <w:tcPr>
            <w:tcW w:w="360" w:type="dxa"/>
            <w:shd w:val="clear" w:color="auto" w:fill="auto"/>
          </w:tcPr>
          <w:p w14:paraId="18AA0D98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14:paraId="4ED851AA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Price</w:t>
            </w:r>
          </w:p>
        </w:tc>
        <w:tc>
          <w:tcPr>
            <w:tcW w:w="5972" w:type="dxa"/>
            <w:shd w:val="clear" w:color="auto" w:fill="auto"/>
          </w:tcPr>
          <w:p w14:paraId="5BC1D19B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Lump sum contract</w:t>
            </w:r>
          </w:p>
        </w:tc>
        <w:tc>
          <w:tcPr>
            <w:tcW w:w="1047" w:type="dxa"/>
            <w:shd w:val="clear" w:color="auto" w:fill="auto"/>
          </w:tcPr>
          <w:p w14:paraId="359301E6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</w:t>
            </w:r>
          </w:p>
        </w:tc>
      </w:tr>
      <w:tr w:rsidR="00DA6FB1" w:rsidRPr="00DD74D3" w14:paraId="07AA8681" w14:textId="77777777" w:rsidTr="00992F3B">
        <w:tc>
          <w:tcPr>
            <w:tcW w:w="360" w:type="dxa"/>
            <w:shd w:val="clear" w:color="auto" w:fill="auto"/>
          </w:tcPr>
          <w:p w14:paraId="5633A49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63F135F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0CD6F26A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Prices cannot be revised</w:t>
            </w:r>
          </w:p>
        </w:tc>
        <w:tc>
          <w:tcPr>
            <w:tcW w:w="1047" w:type="dxa"/>
            <w:shd w:val="clear" w:color="auto" w:fill="auto"/>
          </w:tcPr>
          <w:p w14:paraId="2D1E8A40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48</w:t>
            </w:r>
          </w:p>
        </w:tc>
      </w:tr>
      <w:tr w:rsidR="00DA6FB1" w:rsidRPr="00DD74D3" w14:paraId="07D11D05" w14:textId="77777777" w:rsidTr="00992F3B">
        <w:tc>
          <w:tcPr>
            <w:tcW w:w="360" w:type="dxa"/>
            <w:shd w:val="clear" w:color="auto" w:fill="auto"/>
          </w:tcPr>
          <w:p w14:paraId="33F6C0C1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14:paraId="1C4D874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Duration</w:t>
            </w:r>
          </w:p>
        </w:tc>
        <w:tc>
          <w:tcPr>
            <w:tcW w:w="5972" w:type="dxa"/>
            <w:shd w:val="clear" w:color="auto" w:fill="auto"/>
          </w:tcPr>
          <w:p w14:paraId="654C70FC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&lt;…&gt; months implementation of works</w:t>
            </w:r>
          </w:p>
        </w:tc>
        <w:tc>
          <w:tcPr>
            <w:tcW w:w="1047" w:type="dxa"/>
            <w:shd w:val="clear" w:color="auto" w:fill="auto"/>
          </w:tcPr>
          <w:p w14:paraId="40974F7C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34</w:t>
            </w:r>
          </w:p>
        </w:tc>
      </w:tr>
      <w:tr w:rsidR="00DA6FB1" w:rsidRPr="00DD74D3" w14:paraId="782E0B3C" w14:textId="77777777" w:rsidTr="00992F3B">
        <w:tc>
          <w:tcPr>
            <w:tcW w:w="360" w:type="dxa"/>
            <w:shd w:val="clear" w:color="auto" w:fill="auto"/>
          </w:tcPr>
          <w:p w14:paraId="7C52FB8A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688DC37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1B74DFDB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Provisional acceptance, after completion of works</w:t>
            </w:r>
          </w:p>
        </w:tc>
        <w:tc>
          <w:tcPr>
            <w:tcW w:w="1047" w:type="dxa"/>
            <w:shd w:val="clear" w:color="auto" w:fill="auto"/>
          </w:tcPr>
          <w:p w14:paraId="6DBC9F09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60</w:t>
            </w:r>
          </w:p>
        </w:tc>
      </w:tr>
      <w:tr w:rsidR="00DA6FB1" w:rsidRPr="00DD74D3" w14:paraId="0E40381E" w14:textId="77777777" w:rsidTr="00992F3B">
        <w:tc>
          <w:tcPr>
            <w:tcW w:w="360" w:type="dxa"/>
            <w:shd w:val="clear" w:color="auto" w:fill="auto"/>
          </w:tcPr>
          <w:p w14:paraId="1971FD74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514F9F9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50C68D16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Defects liability period of 365 days, after provisional acceptance</w:t>
            </w:r>
          </w:p>
        </w:tc>
        <w:tc>
          <w:tcPr>
            <w:tcW w:w="1047" w:type="dxa"/>
            <w:shd w:val="clear" w:color="auto" w:fill="auto"/>
          </w:tcPr>
          <w:p w14:paraId="6C1F77B4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61</w:t>
            </w:r>
          </w:p>
        </w:tc>
      </w:tr>
      <w:tr w:rsidR="00DA6FB1" w:rsidRPr="00DD74D3" w14:paraId="64C43D10" w14:textId="77777777" w:rsidTr="00992F3B">
        <w:tc>
          <w:tcPr>
            <w:tcW w:w="360" w:type="dxa"/>
            <w:shd w:val="clear" w:color="auto" w:fill="auto"/>
          </w:tcPr>
          <w:p w14:paraId="50B596F6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16D40D2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</w:t>
            </w:r>
          </w:p>
        </w:tc>
        <w:tc>
          <w:tcPr>
            <w:tcW w:w="5972" w:type="dxa"/>
            <w:shd w:val="clear" w:color="auto" w:fill="auto"/>
          </w:tcPr>
          <w:p w14:paraId="375C8FE2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Final acceptance, after expiry of defects liability period</w:t>
            </w:r>
          </w:p>
        </w:tc>
        <w:tc>
          <w:tcPr>
            <w:tcW w:w="1047" w:type="dxa"/>
            <w:shd w:val="clear" w:color="auto" w:fill="auto"/>
          </w:tcPr>
          <w:p w14:paraId="75089189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62</w:t>
            </w:r>
          </w:p>
        </w:tc>
      </w:tr>
      <w:tr w:rsidR="00DA6FB1" w:rsidRPr="00DD74D3" w14:paraId="09EAECCB" w14:textId="77777777" w:rsidTr="00992F3B">
        <w:tc>
          <w:tcPr>
            <w:tcW w:w="360" w:type="dxa"/>
            <w:shd w:val="clear" w:color="auto" w:fill="auto"/>
          </w:tcPr>
          <w:p w14:paraId="5767783C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14:paraId="377C8571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Delay</w:t>
            </w:r>
          </w:p>
        </w:tc>
        <w:tc>
          <w:tcPr>
            <w:tcW w:w="5972" w:type="dxa"/>
            <w:shd w:val="clear" w:color="auto" w:fill="auto"/>
          </w:tcPr>
          <w:p w14:paraId="3F180C41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0.1% of the contract price for every day of delay</w:t>
            </w:r>
          </w:p>
        </w:tc>
        <w:tc>
          <w:tcPr>
            <w:tcW w:w="1047" w:type="dxa"/>
            <w:shd w:val="clear" w:color="auto" w:fill="auto"/>
          </w:tcPr>
          <w:p w14:paraId="189AE90A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36</w:t>
            </w:r>
          </w:p>
        </w:tc>
      </w:tr>
      <w:tr w:rsidR="00DA6FB1" w:rsidRPr="00DD74D3" w14:paraId="0FC2B92F" w14:textId="77777777" w:rsidTr="00992F3B">
        <w:tc>
          <w:tcPr>
            <w:tcW w:w="360" w:type="dxa"/>
            <w:shd w:val="clear" w:color="auto" w:fill="auto"/>
          </w:tcPr>
          <w:p w14:paraId="148AD827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14:paraId="2D9310AF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Supervisor</w:t>
            </w:r>
          </w:p>
        </w:tc>
        <w:tc>
          <w:tcPr>
            <w:tcW w:w="5972" w:type="dxa"/>
            <w:shd w:val="clear" w:color="auto" w:fill="auto"/>
          </w:tcPr>
          <w:p w14:paraId="7DF3CC1B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&lt;….&gt;</w:t>
            </w:r>
          </w:p>
        </w:tc>
        <w:tc>
          <w:tcPr>
            <w:tcW w:w="1047" w:type="dxa"/>
            <w:shd w:val="clear" w:color="auto" w:fill="auto"/>
          </w:tcPr>
          <w:p w14:paraId="0CEA3367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5</w:t>
            </w:r>
          </w:p>
        </w:tc>
      </w:tr>
      <w:tr w:rsidR="00DA6FB1" w:rsidRPr="00DD74D3" w14:paraId="3461CF1E" w14:textId="77777777" w:rsidTr="00992F3B">
        <w:tc>
          <w:tcPr>
            <w:tcW w:w="360" w:type="dxa"/>
            <w:shd w:val="clear" w:color="auto" w:fill="auto"/>
          </w:tcPr>
          <w:p w14:paraId="3C46ED7B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08116460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Bank guarantees </w:t>
            </w:r>
          </w:p>
        </w:tc>
        <w:tc>
          <w:tcPr>
            <w:tcW w:w="5972" w:type="dxa"/>
            <w:shd w:val="clear" w:color="auto" w:fill="auto"/>
          </w:tcPr>
          <w:p w14:paraId="1E445E71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no performance, </w:t>
            </w:r>
            <w:proofErr w:type="spellStart"/>
            <w:r w:rsidRPr="00DD74D3">
              <w:rPr>
                <w:rFonts w:eastAsia="Calibri"/>
                <w:snapToGrid/>
                <w:sz w:val="22"/>
                <w:szCs w:val="22"/>
              </w:rPr>
              <w:t>prefinancing</w:t>
            </w:r>
            <w:proofErr w:type="spellEnd"/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and retention guarantees</w:t>
            </w:r>
          </w:p>
          <w:p w14:paraId="3FE7C4E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14:paraId="397ABAEC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15, 46, 47</w:t>
            </w:r>
          </w:p>
        </w:tc>
      </w:tr>
      <w:tr w:rsidR="00DA6FB1" w:rsidRPr="00DD74D3" w14:paraId="6E64DD2B" w14:textId="77777777" w:rsidTr="00992F3B">
        <w:tc>
          <w:tcPr>
            <w:tcW w:w="360" w:type="dxa"/>
            <w:shd w:val="clear" w:color="auto" w:fill="auto"/>
          </w:tcPr>
          <w:p w14:paraId="27539482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14:paraId="4C74F433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Insurances</w:t>
            </w:r>
          </w:p>
        </w:tc>
        <w:tc>
          <w:tcPr>
            <w:tcW w:w="5972" w:type="dxa"/>
            <w:shd w:val="clear" w:color="auto" w:fill="auto"/>
          </w:tcPr>
          <w:p w14:paraId="3DC9327A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For damage to 3</w:t>
            </w:r>
            <w:r w:rsidRPr="00DD74D3">
              <w:rPr>
                <w:rFonts w:eastAsia="Calibri"/>
                <w:snapToGrid/>
                <w:sz w:val="22"/>
                <w:szCs w:val="22"/>
                <w:vertAlign w:val="superscript"/>
              </w:rPr>
              <w:t>rd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 parties, unlimited for bodily injury</w:t>
            </w:r>
          </w:p>
        </w:tc>
        <w:tc>
          <w:tcPr>
            <w:tcW w:w="1047" w:type="dxa"/>
            <w:shd w:val="clear" w:color="auto" w:fill="auto"/>
          </w:tcPr>
          <w:p w14:paraId="6AA24603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DA6FB1" w:rsidRPr="00DD74D3" w14:paraId="47818BC9" w14:textId="77777777" w:rsidTr="00992F3B">
        <w:tc>
          <w:tcPr>
            <w:tcW w:w="360" w:type="dxa"/>
            <w:shd w:val="clear" w:color="auto" w:fill="auto"/>
          </w:tcPr>
          <w:p w14:paraId="2E85B308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A320FD9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4D96DEC8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Contractor all risk insurance</w:t>
            </w:r>
          </w:p>
        </w:tc>
        <w:tc>
          <w:tcPr>
            <w:tcW w:w="1047" w:type="dxa"/>
            <w:shd w:val="clear" w:color="auto" w:fill="auto"/>
          </w:tcPr>
          <w:p w14:paraId="2FED8E87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DA6FB1" w:rsidRPr="00DD74D3" w14:paraId="73BAAA0E" w14:textId="77777777" w:rsidTr="00992F3B">
        <w:tc>
          <w:tcPr>
            <w:tcW w:w="360" w:type="dxa"/>
            <w:shd w:val="clear" w:color="auto" w:fill="auto"/>
          </w:tcPr>
          <w:p w14:paraId="4FDC8771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5A44E9B1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20C61DD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Insurance against accidents at work </w:t>
            </w:r>
          </w:p>
        </w:tc>
        <w:tc>
          <w:tcPr>
            <w:tcW w:w="1047" w:type="dxa"/>
            <w:shd w:val="clear" w:color="auto" w:fill="auto"/>
          </w:tcPr>
          <w:p w14:paraId="6B749D12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DA6FB1" w:rsidRPr="00DD74D3" w14:paraId="47E6C58E" w14:textId="77777777" w:rsidTr="00992F3B">
        <w:tc>
          <w:tcPr>
            <w:tcW w:w="360" w:type="dxa"/>
            <w:shd w:val="clear" w:color="auto" w:fill="auto"/>
          </w:tcPr>
          <w:p w14:paraId="5B1AD84A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FE87CC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0508B039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Insurance for soundness of works  </w:t>
            </w:r>
          </w:p>
        </w:tc>
        <w:tc>
          <w:tcPr>
            <w:tcW w:w="1047" w:type="dxa"/>
            <w:shd w:val="clear" w:color="auto" w:fill="auto"/>
          </w:tcPr>
          <w:p w14:paraId="395D35D4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16</w:t>
            </w:r>
          </w:p>
        </w:tc>
      </w:tr>
      <w:tr w:rsidR="00DA6FB1" w:rsidRPr="00DD74D3" w14:paraId="54AF1E5F" w14:textId="77777777" w:rsidTr="00992F3B">
        <w:tc>
          <w:tcPr>
            <w:tcW w:w="360" w:type="dxa"/>
            <w:shd w:val="clear" w:color="auto" w:fill="auto"/>
          </w:tcPr>
          <w:p w14:paraId="7B35B39F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>
              <w:rPr>
                <w:rFonts w:eastAsia="Calibri"/>
                <w:snapToGrid/>
                <w:sz w:val="22"/>
                <w:szCs w:val="22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14:paraId="5638CF33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Payments</w:t>
            </w:r>
          </w:p>
        </w:tc>
        <w:tc>
          <w:tcPr>
            <w:tcW w:w="5972" w:type="dxa"/>
            <w:shd w:val="clear" w:color="auto" w:fill="auto"/>
          </w:tcPr>
          <w:p w14:paraId="5C71BBDB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lump sum advance for 20% of the original contract price, after conclusion of the contract</w:t>
            </w:r>
          </w:p>
        </w:tc>
        <w:tc>
          <w:tcPr>
            <w:tcW w:w="1047" w:type="dxa"/>
            <w:shd w:val="clear" w:color="auto" w:fill="auto"/>
          </w:tcPr>
          <w:p w14:paraId="1240A2B8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46</w:t>
            </w:r>
          </w:p>
        </w:tc>
      </w:tr>
      <w:tr w:rsidR="00DA6FB1" w:rsidRPr="00DD74D3" w14:paraId="4E924D6D" w14:textId="77777777" w:rsidTr="00992F3B">
        <w:tc>
          <w:tcPr>
            <w:tcW w:w="360" w:type="dxa"/>
            <w:shd w:val="clear" w:color="auto" w:fill="auto"/>
          </w:tcPr>
          <w:p w14:paraId="5D2CFED2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238B61A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74AEC7ED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Interim payment for &lt;…&gt;% of the contract price, after completion of &lt;phase/percentage of quantities, cf. 49 SC&gt; </w:t>
            </w:r>
          </w:p>
        </w:tc>
        <w:tc>
          <w:tcPr>
            <w:tcW w:w="1047" w:type="dxa"/>
            <w:shd w:val="clear" w:color="auto" w:fill="auto"/>
          </w:tcPr>
          <w:p w14:paraId="7038D00C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49, 50</w:t>
            </w:r>
          </w:p>
        </w:tc>
      </w:tr>
      <w:tr w:rsidR="00DA6FB1" w:rsidRPr="00DD74D3" w14:paraId="76A85274" w14:textId="77777777" w:rsidTr="00992F3B">
        <w:tc>
          <w:tcPr>
            <w:tcW w:w="360" w:type="dxa"/>
            <w:shd w:val="clear" w:color="auto" w:fill="auto"/>
          </w:tcPr>
          <w:p w14:paraId="5DB12C2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0F8DBE4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1618AB59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Interim payment for &lt;…&gt;% of the contract price, after completion of &lt;phase/percentage of quantities, cf. 49 SC&gt;</w:t>
            </w:r>
          </w:p>
        </w:tc>
        <w:tc>
          <w:tcPr>
            <w:tcW w:w="1047" w:type="dxa"/>
            <w:shd w:val="clear" w:color="auto" w:fill="auto"/>
          </w:tcPr>
          <w:p w14:paraId="4B723000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49, 50</w:t>
            </w:r>
          </w:p>
        </w:tc>
      </w:tr>
      <w:tr w:rsidR="00DA6FB1" w:rsidRPr="00DD74D3" w14:paraId="7FE71785" w14:textId="77777777" w:rsidTr="00992F3B">
        <w:tc>
          <w:tcPr>
            <w:tcW w:w="360" w:type="dxa"/>
            <w:shd w:val="clear" w:color="auto" w:fill="auto"/>
          </w:tcPr>
          <w:p w14:paraId="32701FE8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284D330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0CA68BFE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….</w:t>
            </w:r>
          </w:p>
          <w:p w14:paraId="6C55418C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14:paraId="1DC0937E" w14:textId="77777777" w:rsidR="00DA6FB1" w:rsidRPr="00DD74D3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</w:p>
        </w:tc>
      </w:tr>
      <w:tr w:rsidR="00DA6FB1" w:rsidRPr="00BA6B6D" w14:paraId="12F23E9C" w14:textId="77777777" w:rsidTr="00992F3B">
        <w:tc>
          <w:tcPr>
            <w:tcW w:w="360" w:type="dxa"/>
            <w:shd w:val="clear" w:color="auto" w:fill="auto"/>
          </w:tcPr>
          <w:p w14:paraId="5F7E45D8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A4A6B7B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</w:p>
        </w:tc>
        <w:tc>
          <w:tcPr>
            <w:tcW w:w="5972" w:type="dxa"/>
            <w:shd w:val="clear" w:color="auto" w:fill="auto"/>
          </w:tcPr>
          <w:p w14:paraId="6409F266" w14:textId="77777777" w:rsidR="00DA6FB1" w:rsidRPr="00DD74D3" w:rsidRDefault="00DA6FB1" w:rsidP="00992F3B">
            <w:pPr>
              <w:jc w:val="both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 xml:space="preserve">Retention money for 10% of the contract price, after signed </w:t>
            </w:r>
            <w:r>
              <w:rPr>
                <w:rFonts w:eastAsia="Calibri"/>
                <w:snapToGrid/>
                <w:sz w:val="22"/>
                <w:szCs w:val="22"/>
              </w:rPr>
              <w:t>f</w:t>
            </w:r>
            <w:r w:rsidRPr="00DD74D3">
              <w:rPr>
                <w:rFonts w:eastAsia="Calibri"/>
                <w:snapToGrid/>
                <w:sz w:val="22"/>
                <w:szCs w:val="22"/>
              </w:rPr>
              <w:t>inal statement of account</w:t>
            </w:r>
          </w:p>
        </w:tc>
        <w:tc>
          <w:tcPr>
            <w:tcW w:w="1047" w:type="dxa"/>
            <w:shd w:val="clear" w:color="auto" w:fill="auto"/>
          </w:tcPr>
          <w:p w14:paraId="6CA50D0B" w14:textId="77777777" w:rsidR="00DA6FB1" w:rsidRPr="00BA6B6D" w:rsidRDefault="00DA6FB1" w:rsidP="00992F3B">
            <w:pPr>
              <w:jc w:val="center"/>
              <w:rPr>
                <w:rFonts w:eastAsia="Calibri"/>
                <w:snapToGrid/>
                <w:sz w:val="22"/>
                <w:szCs w:val="22"/>
              </w:rPr>
            </w:pPr>
            <w:r w:rsidRPr="00DD74D3">
              <w:rPr>
                <w:rFonts w:eastAsia="Calibri"/>
                <w:snapToGrid/>
                <w:sz w:val="22"/>
                <w:szCs w:val="22"/>
              </w:rPr>
              <w:t>47, 49</w:t>
            </w:r>
          </w:p>
        </w:tc>
      </w:tr>
    </w:tbl>
    <w:p w14:paraId="3A821D2F" w14:textId="77777777" w:rsidR="001050EE" w:rsidRPr="00F162E3" w:rsidRDefault="003D764D" w:rsidP="000A06F9">
      <w:pPr>
        <w:pStyle w:val="Sottotitolo"/>
        <w:ind w:left="1134" w:hanging="1134"/>
        <w:jc w:val="both"/>
        <w:rPr>
          <w:rFonts w:ascii="Times New Roman" w:hAnsi="Times New Roman"/>
          <w:sz w:val="22"/>
          <w:szCs w:val="22"/>
          <w:lang w:val="en-GB"/>
        </w:rPr>
      </w:pPr>
      <w:bookmarkStart w:id="9" w:name="_Toc76894414"/>
      <w:r w:rsidRPr="00F162E3">
        <w:rPr>
          <w:rFonts w:ascii="Times New Roman" w:hAnsi="Times New Roman"/>
          <w:sz w:val="22"/>
          <w:szCs w:val="22"/>
          <w:lang w:val="en-GB"/>
        </w:rPr>
        <w:t>Article 2</w:t>
      </w:r>
      <w:r w:rsidR="00F162E3">
        <w:rPr>
          <w:rFonts w:ascii="Times New Roman" w:hAnsi="Times New Roman"/>
          <w:sz w:val="22"/>
          <w:szCs w:val="22"/>
          <w:lang w:val="en-GB"/>
        </w:rPr>
        <w:tab/>
      </w:r>
      <w:r w:rsidR="001050EE" w:rsidRPr="00F162E3">
        <w:rPr>
          <w:rFonts w:ascii="Times New Roman" w:hAnsi="Times New Roman"/>
          <w:sz w:val="22"/>
          <w:szCs w:val="22"/>
          <w:lang w:val="en-GB"/>
        </w:rPr>
        <w:t xml:space="preserve">Language of the </w:t>
      </w:r>
      <w:r w:rsidR="00E806A3">
        <w:rPr>
          <w:rFonts w:ascii="Times New Roman" w:hAnsi="Times New Roman"/>
          <w:sz w:val="22"/>
          <w:szCs w:val="22"/>
          <w:lang w:val="en-GB"/>
        </w:rPr>
        <w:t>c</w:t>
      </w:r>
      <w:r w:rsidR="001050EE" w:rsidRPr="00F162E3">
        <w:rPr>
          <w:rFonts w:ascii="Times New Roman" w:hAnsi="Times New Roman"/>
          <w:sz w:val="22"/>
          <w:szCs w:val="22"/>
          <w:lang w:val="en-GB"/>
        </w:rPr>
        <w:t>ontract</w:t>
      </w:r>
      <w:bookmarkEnd w:id="9"/>
    </w:p>
    <w:p w14:paraId="2CA65C75" w14:textId="77777777" w:rsidR="001050EE" w:rsidRPr="00F162E3" w:rsidRDefault="001050EE" w:rsidP="003D764D">
      <w:pPr>
        <w:spacing w:before="120" w:after="120"/>
        <w:ind w:left="1134" w:hanging="567"/>
        <w:rPr>
          <w:sz w:val="22"/>
          <w:szCs w:val="22"/>
        </w:rPr>
      </w:pPr>
      <w:r w:rsidRPr="00F162E3">
        <w:rPr>
          <w:bCs/>
          <w:sz w:val="22"/>
          <w:szCs w:val="22"/>
        </w:rPr>
        <w:t>2.</w:t>
      </w:r>
      <w:r w:rsidR="00E83124" w:rsidRPr="00F162E3">
        <w:rPr>
          <w:bCs/>
          <w:sz w:val="22"/>
          <w:szCs w:val="22"/>
        </w:rPr>
        <w:t>1</w:t>
      </w:r>
      <w:r w:rsidRPr="00F162E3">
        <w:rPr>
          <w:sz w:val="22"/>
          <w:szCs w:val="22"/>
        </w:rPr>
        <w:tab/>
        <w:t>The language used</w:t>
      </w:r>
      <w:r w:rsidR="00E83124" w:rsidRPr="00F162E3">
        <w:rPr>
          <w:sz w:val="22"/>
          <w:szCs w:val="22"/>
        </w:rPr>
        <w:t xml:space="preserve"> shall</w:t>
      </w:r>
      <w:r w:rsidRPr="00F162E3">
        <w:rPr>
          <w:sz w:val="22"/>
          <w:szCs w:val="22"/>
        </w:rPr>
        <w:t xml:space="preserve"> be English.</w:t>
      </w:r>
      <w:r w:rsidRPr="00F162E3" w:rsidDel="009A2FAE">
        <w:rPr>
          <w:sz w:val="22"/>
          <w:szCs w:val="22"/>
          <w:shd w:val="solid" w:color="C0C0C0" w:fill="FFFFFF"/>
        </w:rPr>
        <w:t xml:space="preserve"> </w:t>
      </w:r>
    </w:p>
    <w:p w14:paraId="0535B9D1" w14:textId="77777777" w:rsidR="001050EE" w:rsidRPr="00F162E3" w:rsidRDefault="001050EE" w:rsidP="003D764D">
      <w:pPr>
        <w:spacing w:before="240"/>
        <w:ind w:left="1134" w:hanging="1134"/>
        <w:jc w:val="both"/>
        <w:rPr>
          <w:b/>
          <w:sz w:val="22"/>
          <w:szCs w:val="22"/>
        </w:rPr>
      </w:pPr>
      <w:bookmarkStart w:id="10" w:name="_Toc76894416"/>
      <w:r w:rsidRPr="00F162E3">
        <w:rPr>
          <w:b/>
          <w:sz w:val="22"/>
          <w:szCs w:val="22"/>
        </w:rPr>
        <w:t>Article 4</w:t>
      </w:r>
      <w:r w:rsidRPr="00F162E3">
        <w:rPr>
          <w:b/>
          <w:sz w:val="22"/>
          <w:szCs w:val="22"/>
        </w:rPr>
        <w:tab/>
        <w:t>Communication</w:t>
      </w:r>
      <w:bookmarkEnd w:id="10"/>
    </w:p>
    <w:p w14:paraId="49D9BDCF" w14:textId="77777777" w:rsidR="004A2BDD" w:rsidRDefault="003D764D" w:rsidP="004A2BDD">
      <w:pPr>
        <w:ind w:left="1134" w:hanging="567"/>
        <w:rPr>
          <w:sz w:val="22"/>
          <w:szCs w:val="22"/>
        </w:rPr>
      </w:pPr>
      <w:r w:rsidRPr="00F162E3">
        <w:rPr>
          <w:sz w:val="22"/>
          <w:szCs w:val="22"/>
        </w:rPr>
        <w:t>4.1</w:t>
      </w:r>
      <w:r w:rsidRPr="00F162E3">
        <w:rPr>
          <w:sz w:val="22"/>
          <w:szCs w:val="22"/>
        </w:rPr>
        <w:tab/>
      </w:r>
      <w:r w:rsidR="004A2BDD" w:rsidRPr="003F3783">
        <w:rPr>
          <w:sz w:val="22"/>
          <w:szCs w:val="22"/>
        </w:rPr>
        <w:t>Communication details</w:t>
      </w:r>
    </w:p>
    <w:p w14:paraId="16EC8806" w14:textId="09E8F9FB" w:rsidR="00E51794" w:rsidRPr="00E51794" w:rsidRDefault="004A2BDD" w:rsidP="00E51794">
      <w:pPr>
        <w:autoSpaceDE w:val="0"/>
        <w:autoSpaceDN w:val="0"/>
        <w:adjustRightInd w:val="0"/>
        <w:rPr>
          <w:sz w:val="22"/>
          <w:szCs w:val="22"/>
        </w:rPr>
      </w:pPr>
      <w:r w:rsidRPr="003F3783">
        <w:rPr>
          <w:sz w:val="22"/>
          <w:szCs w:val="22"/>
        </w:rPr>
        <w:tab/>
      </w:r>
      <w:proofErr w:type="spellStart"/>
      <w:r w:rsidR="00E51794" w:rsidRPr="00E51794">
        <w:rPr>
          <w:sz w:val="22"/>
          <w:szCs w:val="22"/>
        </w:rPr>
        <w:t>Biruk</w:t>
      </w:r>
      <w:proofErr w:type="spellEnd"/>
      <w:r w:rsidR="00E51794" w:rsidRPr="00E51794">
        <w:rPr>
          <w:sz w:val="22"/>
          <w:szCs w:val="22"/>
        </w:rPr>
        <w:t xml:space="preserve"> </w:t>
      </w:r>
      <w:proofErr w:type="spellStart"/>
      <w:r w:rsidR="00E51794" w:rsidRPr="00E51794">
        <w:rPr>
          <w:sz w:val="22"/>
          <w:szCs w:val="22"/>
        </w:rPr>
        <w:t>Admassu</w:t>
      </w:r>
      <w:proofErr w:type="spellEnd"/>
      <w:r w:rsidR="00E51794">
        <w:rPr>
          <w:sz w:val="22"/>
          <w:szCs w:val="22"/>
        </w:rPr>
        <w:t xml:space="preserve">, </w:t>
      </w:r>
      <w:r w:rsidR="00E51794" w:rsidRPr="00E51794">
        <w:rPr>
          <w:sz w:val="22"/>
          <w:szCs w:val="22"/>
        </w:rPr>
        <w:t xml:space="preserve">Bole </w:t>
      </w:r>
      <w:proofErr w:type="spellStart"/>
      <w:r w:rsidR="00E51794" w:rsidRPr="00E51794">
        <w:rPr>
          <w:sz w:val="22"/>
          <w:szCs w:val="22"/>
        </w:rPr>
        <w:t>Subcity</w:t>
      </w:r>
      <w:proofErr w:type="spellEnd"/>
      <w:r w:rsidR="00E51794" w:rsidRPr="00E51794">
        <w:rPr>
          <w:sz w:val="22"/>
          <w:szCs w:val="22"/>
        </w:rPr>
        <w:t xml:space="preserve">, </w:t>
      </w:r>
      <w:proofErr w:type="spellStart"/>
      <w:r w:rsidR="00E51794" w:rsidRPr="00E51794">
        <w:rPr>
          <w:sz w:val="22"/>
          <w:szCs w:val="22"/>
        </w:rPr>
        <w:t>Woreda</w:t>
      </w:r>
      <w:proofErr w:type="spellEnd"/>
      <w:r w:rsidR="00E51794" w:rsidRPr="00E51794">
        <w:rPr>
          <w:sz w:val="22"/>
          <w:szCs w:val="22"/>
        </w:rPr>
        <w:t xml:space="preserve"> 3, house </w:t>
      </w:r>
      <w:proofErr w:type="spellStart"/>
      <w:r w:rsidR="00E51794" w:rsidRPr="00E51794">
        <w:rPr>
          <w:sz w:val="22"/>
          <w:szCs w:val="22"/>
        </w:rPr>
        <w:t>nr</w:t>
      </w:r>
      <w:proofErr w:type="spellEnd"/>
      <w:r w:rsidR="00E51794" w:rsidRPr="00E51794">
        <w:rPr>
          <w:sz w:val="22"/>
          <w:szCs w:val="22"/>
        </w:rPr>
        <w:t>. 2434, Addis Ababa</w:t>
      </w:r>
      <w:r w:rsidR="00E51794">
        <w:rPr>
          <w:sz w:val="22"/>
          <w:szCs w:val="22"/>
        </w:rPr>
        <w:t xml:space="preserve">, </w:t>
      </w:r>
      <w:r w:rsidR="00E51794" w:rsidRPr="00E51794">
        <w:rPr>
          <w:sz w:val="22"/>
          <w:szCs w:val="22"/>
        </w:rPr>
        <w:t xml:space="preserve">b.admassu@cuamm.org </w:t>
      </w:r>
    </w:p>
    <w:p w14:paraId="3C576A00" w14:textId="77777777" w:rsidR="001050EE" w:rsidRPr="00F162E3" w:rsidRDefault="001050EE" w:rsidP="003D764D">
      <w:pPr>
        <w:spacing w:before="240"/>
        <w:ind w:left="1134" w:hanging="1134"/>
        <w:jc w:val="both"/>
        <w:rPr>
          <w:b/>
          <w:sz w:val="22"/>
          <w:szCs w:val="22"/>
        </w:rPr>
      </w:pPr>
      <w:bookmarkStart w:id="11" w:name="_Toc76894417"/>
      <w:r w:rsidRPr="00F162E3">
        <w:rPr>
          <w:b/>
          <w:sz w:val="22"/>
          <w:szCs w:val="22"/>
        </w:rPr>
        <w:t>Article 5</w:t>
      </w:r>
      <w:r w:rsidRPr="00F162E3">
        <w:rPr>
          <w:b/>
          <w:sz w:val="22"/>
          <w:szCs w:val="22"/>
        </w:rPr>
        <w:tab/>
        <w:t xml:space="preserve">Supervisor and </w:t>
      </w:r>
      <w:r w:rsidR="00E806A3">
        <w:rPr>
          <w:b/>
          <w:sz w:val="22"/>
          <w:szCs w:val="22"/>
        </w:rPr>
        <w:t>s</w:t>
      </w:r>
      <w:r w:rsidRPr="00F162E3">
        <w:rPr>
          <w:b/>
          <w:sz w:val="22"/>
          <w:szCs w:val="22"/>
        </w:rPr>
        <w:t>upervisor</w:t>
      </w:r>
      <w:r w:rsidR="00E725FE" w:rsidRPr="00F162E3">
        <w:rPr>
          <w:b/>
          <w:sz w:val="22"/>
          <w:szCs w:val="22"/>
        </w:rPr>
        <w:t>’</w:t>
      </w:r>
      <w:r w:rsidRPr="00F162E3">
        <w:rPr>
          <w:b/>
          <w:sz w:val="22"/>
          <w:szCs w:val="22"/>
        </w:rPr>
        <w:t>s representative</w:t>
      </w:r>
      <w:bookmarkEnd w:id="11"/>
    </w:p>
    <w:p w14:paraId="008A54BA" w14:textId="66156A55" w:rsidR="00781A3D" w:rsidRPr="00781A3D" w:rsidRDefault="001050EE" w:rsidP="004E0E24">
      <w:pPr>
        <w:spacing w:before="120" w:after="120"/>
        <w:ind w:left="1134" w:hanging="567"/>
        <w:jc w:val="both"/>
        <w:rPr>
          <w:sz w:val="22"/>
          <w:szCs w:val="22"/>
        </w:rPr>
      </w:pPr>
      <w:r w:rsidRPr="004E0E24">
        <w:rPr>
          <w:bCs/>
          <w:sz w:val="22"/>
          <w:szCs w:val="22"/>
        </w:rPr>
        <w:t>5.2</w:t>
      </w:r>
      <w:r w:rsidR="009D279F" w:rsidRPr="004E0E24">
        <w:rPr>
          <w:sz w:val="22"/>
          <w:szCs w:val="22"/>
        </w:rPr>
        <w:tab/>
      </w:r>
      <w:r w:rsidR="0004235A" w:rsidRPr="00E51794">
        <w:rPr>
          <w:sz w:val="22"/>
          <w:szCs w:val="22"/>
        </w:rPr>
        <w:t>U</w:t>
      </w:r>
      <w:r w:rsidR="00781A3D" w:rsidRPr="00E51794">
        <w:rPr>
          <w:sz w:val="22"/>
          <w:szCs w:val="22"/>
        </w:rPr>
        <w:t xml:space="preserve">nder this contract, the </w:t>
      </w:r>
      <w:r w:rsidR="00E806A3" w:rsidRPr="00E51794">
        <w:rPr>
          <w:sz w:val="22"/>
          <w:szCs w:val="22"/>
        </w:rPr>
        <w:t>s</w:t>
      </w:r>
      <w:r w:rsidR="00781A3D" w:rsidRPr="00E51794">
        <w:rPr>
          <w:sz w:val="22"/>
          <w:szCs w:val="22"/>
        </w:rPr>
        <w:t xml:space="preserve">upervisor does not delegate his duties and authority to a </w:t>
      </w:r>
      <w:r w:rsidR="00E806A3" w:rsidRPr="00E51794">
        <w:rPr>
          <w:sz w:val="22"/>
          <w:szCs w:val="22"/>
        </w:rPr>
        <w:t>s</w:t>
      </w:r>
      <w:r w:rsidR="00781A3D" w:rsidRPr="00E51794">
        <w:rPr>
          <w:sz w:val="22"/>
          <w:szCs w:val="22"/>
        </w:rPr>
        <w:t xml:space="preserve">upervisor's </w:t>
      </w:r>
      <w:r w:rsidR="00E806A3" w:rsidRPr="00E51794">
        <w:rPr>
          <w:sz w:val="22"/>
          <w:szCs w:val="22"/>
        </w:rPr>
        <w:t>r</w:t>
      </w:r>
      <w:r w:rsidR="0004235A" w:rsidRPr="00E51794">
        <w:rPr>
          <w:sz w:val="22"/>
          <w:szCs w:val="22"/>
        </w:rPr>
        <w:t>epresentative.</w:t>
      </w:r>
      <w:r w:rsidR="0004235A">
        <w:rPr>
          <w:sz w:val="22"/>
          <w:szCs w:val="22"/>
        </w:rPr>
        <w:t xml:space="preserve"> </w:t>
      </w:r>
    </w:p>
    <w:p w14:paraId="7B798602" w14:textId="77777777" w:rsidR="001050EE" w:rsidRPr="00CA6498" w:rsidRDefault="001050EE" w:rsidP="00021EB3">
      <w:pPr>
        <w:spacing w:before="240"/>
        <w:ind w:left="1276" w:hanging="1276"/>
        <w:jc w:val="both"/>
        <w:rPr>
          <w:b/>
          <w:szCs w:val="24"/>
        </w:rPr>
      </w:pPr>
      <w:bookmarkStart w:id="12" w:name="_Toc76894422"/>
      <w:r w:rsidRPr="00CA6498">
        <w:rPr>
          <w:b/>
          <w:szCs w:val="24"/>
        </w:rPr>
        <w:t>Article 16</w:t>
      </w:r>
      <w:r w:rsidRPr="00CA6498">
        <w:rPr>
          <w:b/>
          <w:szCs w:val="24"/>
        </w:rPr>
        <w:tab/>
      </w:r>
      <w:r w:rsidR="00C261B3" w:rsidRPr="00CA6498">
        <w:rPr>
          <w:b/>
        </w:rPr>
        <w:t>Liabilities</w:t>
      </w:r>
      <w:r w:rsidR="00C261B3" w:rsidRPr="00CA6498">
        <w:rPr>
          <w:b/>
          <w:szCs w:val="24"/>
        </w:rPr>
        <w:t xml:space="preserve"> and </w:t>
      </w:r>
      <w:r w:rsidR="00E806A3">
        <w:rPr>
          <w:b/>
          <w:szCs w:val="24"/>
        </w:rPr>
        <w:t>i</w:t>
      </w:r>
      <w:r w:rsidRPr="00CA6498">
        <w:rPr>
          <w:b/>
          <w:szCs w:val="24"/>
        </w:rPr>
        <w:t>nsurance</w:t>
      </w:r>
      <w:bookmarkEnd w:id="12"/>
    </w:p>
    <w:p w14:paraId="0016F2FE" w14:textId="77777777" w:rsidR="00C261B3" w:rsidRPr="00CA6498" w:rsidRDefault="00C261B3" w:rsidP="003A69FF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 w:rsidRPr="00CA6498">
        <w:rPr>
          <w:sz w:val="22"/>
          <w:szCs w:val="22"/>
        </w:rPr>
        <w:t>1</w:t>
      </w:r>
      <w:r w:rsidR="007E7F01" w:rsidRPr="00CA6498">
        <w:rPr>
          <w:sz w:val="22"/>
          <w:szCs w:val="22"/>
        </w:rPr>
        <w:t>6</w:t>
      </w:r>
      <w:r w:rsidRPr="00CA6498">
        <w:rPr>
          <w:sz w:val="22"/>
          <w:szCs w:val="22"/>
        </w:rPr>
        <w:t>.1</w:t>
      </w:r>
      <w:r w:rsidR="007E7F01" w:rsidRPr="00CA6498">
        <w:rPr>
          <w:sz w:val="22"/>
          <w:szCs w:val="22"/>
        </w:rPr>
        <w:t xml:space="preserve"> a)</w:t>
      </w:r>
      <w:r w:rsidR="00F2670B" w:rsidRPr="00CA6498">
        <w:rPr>
          <w:sz w:val="22"/>
          <w:szCs w:val="22"/>
        </w:rPr>
        <w:tab/>
      </w:r>
      <w:r w:rsidRPr="00CA6498">
        <w:rPr>
          <w:sz w:val="22"/>
          <w:szCs w:val="22"/>
        </w:rPr>
        <w:t>By way of derogation from Article 1</w:t>
      </w:r>
      <w:r w:rsidR="007E7F01" w:rsidRPr="00CA6498">
        <w:rPr>
          <w:sz w:val="22"/>
          <w:szCs w:val="22"/>
        </w:rPr>
        <w:t>6</w:t>
      </w:r>
      <w:r w:rsidRPr="00CA6498">
        <w:rPr>
          <w:sz w:val="22"/>
          <w:szCs w:val="22"/>
        </w:rPr>
        <w:t xml:space="preserve">.1, </w:t>
      </w:r>
      <w:r w:rsidR="007E7F01" w:rsidRPr="00CA6498">
        <w:rPr>
          <w:sz w:val="22"/>
          <w:szCs w:val="22"/>
        </w:rPr>
        <w:t xml:space="preserve">a) </w:t>
      </w:r>
      <w:r w:rsidRPr="00CA6498">
        <w:rPr>
          <w:sz w:val="22"/>
          <w:szCs w:val="22"/>
        </w:rPr>
        <w:t xml:space="preserve">paragraph </w:t>
      </w:r>
      <w:r w:rsidR="007E7F01" w:rsidRPr="00CA6498">
        <w:rPr>
          <w:sz w:val="22"/>
          <w:szCs w:val="22"/>
        </w:rPr>
        <w:t>2</w:t>
      </w:r>
      <w:r w:rsidRPr="00CA6498">
        <w:rPr>
          <w:sz w:val="22"/>
          <w:szCs w:val="22"/>
        </w:rPr>
        <w:t xml:space="preserve">, of the general conditions, compensation for damage to the </w:t>
      </w:r>
      <w:r w:rsidR="007E7F01" w:rsidRPr="00CA6498">
        <w:rPr>
          <w:sz w:val="22"/>
          <w:szCs w:val="22"/>
        </w:rPr>
        <w:t>works</w:t>
      </w:r>
      <w:r w:rsidRPr="00CA6498">
        <w:rPr>
          <w:sz w:val="22"/>
          <w:szCs w:val="22"/>
        </w:rPr>
        <w:t xml:space="preserve"> resulting from the </w:t>
      </w:r>
      <w:r w:rsidR="00E806A3">
        <w:rPr>
          <w:sz w:val="22"/>
          <w:szCs w:val="22"/>
        </w:rPr>
        <w:t>c</w:t>
      </w:r>
      <w:r w:rsidRPr="00CA6498">
        <w:rPr>
          <w:sz w:val="22"/>
          <w:szCs w:val="22"/>
        </w:rPr>
        <w:t xml:space="preserve">ontractor's liability in respect of the </w:t>
      </w:r>
      <w:r w:rsidR="00E806A3">
        <w:rPr>
          <w:sz w:val="22"/>
          <w:szCs w:val="22"/>
        </w:rPr>
        <w:t>c</w:t>
      </w:r>
      <w:r w:rsidRPr="00CA6498">
        <w:rPr>
          <w:sz w:val="22"/>
          <w:szCs w:val="22"/>
        </w:rPr>
        <w:t xml:space="preserve">ontracting </w:t>
      </w:r>
      <w:r w:rsidR="00E806A3">
        <w:rPr>
          <w:sz w:val="22"/>
          <w:szCs w:val="22"/>
        </w:rPr>
        <w:t>a</w:t>
      </w:r>
      <w:r w:rsidRPr="00CA6498">
        <w:rPr>
          <w:sz w:val="22"/>
          <w:szCs w:val="22"/>
        </w:rPr>
        <w:t>uthority is capped at an amount equal to</w:t>
      </w:r>
      <w:r w:rsidR="003A69FF" w:rsidRPr="00CA6498">
        <w:rPr>
          <w:sz w:val="22"/>
          <w:szCs w:val="22"/>
        </w:rPr>
        <w:t xml:space="preserve"> </w:t>
      </w:r>
      <w:r w:rsidRPr="00CA6498">
        <w:rPr>
          <w:sz w:val="22"/>
          <w:szCs w:val="22"/>
        </w:rPr>
        <w:t>the contract value</w:t>
      </w:r>
      <w:r w:rsidR="003A69FF" w:rsidRPr="00CA6498">
        <w:rPr>
          <w:sz w:val="22"/>
          <w:szCs w:val="22"/>
        </w:rPr>
        <w:t xml:space="preserve">. </w:t>
      </w:r>
    </w:p>
    <w:p w14:paraId="0B749BEB" w14:textId="77777777" w:rsidR="00C261B3" w:rsidRPr="00CA6498" w:rsidRDefault="00F2670B" w:rsidP="00DD5312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 w:rsidRPr="00CA6498">
        <w:rPr>
          <w:sz w:val="22"/>
          <w:szCs w:val="22"/>
        </w:rPr>
        <w:t>16.1 b)</w:t>
      </w:r>
      <w:r w:rsidRPr="00CA6498">
        <w:rPr>
          <w:sz w:val="22"/>
          <w:szCs w:val="22"/>
        </w:rPr>
        <w:tab/>
      </w:r>
      <w:r w:rsidR="00C261B3" w:rsidRPr="00CA6498">
        <w:rPr>
          <w:sz w:val="22"/>
          <w:szCs w:val="22"/>
        </w:rPr>
        <w:t>By way of derogation from Article 1</w:t>
      </w:r>
      <w:r w:rsidR="007E7F01" w:rsidRPr="00CA6498">
        <w:rPr>
          <w:sz w:val="22"/>
          <w:szCs w:val="22"/>
        </w:rPr>
        <w:t>6</w:t>
      </w:r>
      <w:r w:rsidR="00C261B3" w:rsidRPr="00CA6498">
        <w:rPr>
          <w:sz w:val="22"/>
          <w:szCs w:val="22"/>
        </w:rPr>
        <w:t>.</w:t>
      </w:r>
      <w:r w:rsidR="007E7F01" w:rsidRPr="00CA6498">
        <w:rPr>
          <w:sz w:val="22"/>
          <w:szCs w:val="22"/>
        </w:rPr>
        <w:t>1</w:t>
      </w:r>
      <w:r w:rsidR="00C261B3" w:rsidRPr="00CA6498">
        <w:rPr>
          <w:sz w:val="22"/>
          <w:szCs w:val="22"/>
        </w:rPr>
        <w:t xml:space="preserve">, </w:t>
      </w:r>
      <w:r w:rsidR="007E7F01" w:rsidRPr="00CA6498">
        <w:rPr>
          <w:sz w:val="22"/>
          <w:szCs w:val="22"/>
        </w:rPr>
        <w:t xml:space="preserve">b), </w:t>
      </w:r>
      <w:r w:rsidR="00C261B3" w:rsidRPr="00CA6498">
        <w:rPr>
          <w:sz w:val="22"/>
          <w:szCs w:val="22"/>
        </w:rPr>
        <w:t xml:space="preserve">paragraph 2, of the general conditions, compensation for damage resulting from the </w:t>
      </w:r>
      <w:r w:rsidR="00E806A3">
        <w:rPr>
          <w:sz w:val="22"/>
          <w:szCs w:val="22"/>
        </w:rPr>
        <w:t>c</w:t>
      </w:r>
      <w:r w:rsidR="00C261B3" w:rsidRPr="00CA6498">
        <w:rPr>
          <w:sz w:val="22"/>
          <w:szCs w:val="22"/>
        </w:rPr>
        <w:t xml:space="preserve">ontractor's liability in respect of the </w:t>
      </w:r>
      <w:r w:rsidR="00E806A3">
        <w:rPr>
          <w:sz w:val="22"/>
          <w:szCs w:val="22"/>
        </w:rPr>
        <w:t>c</w:t>
      </w:r>
      <w:r w:rsidR="00C261B3" w:rsidRPr="00CA6498">
        <w:rPr>
          <w:sz w:val="22"/>
          <w:szCs w:val="22"/>
        </w:rPr>
        <w:t xml:space="preserve">ontracting </w:t>
      </w:r>
      <w:r w:rsidR="00E806A3">
        <w:rPr>
          <w:sz w:val="22"/>
          <w:szCs w:val="22"/>
        </w:rPr>
        <w:t>a</w:t>
      </w:r>
      <w:r w:rsidR="00C261B3" w:rsidRPr="00CA6498">
        <w:rPr>
          <w:sz w:val="22"/>
          <w:szCs w:val="22"/>
        </w:rPr>
        <w:t>uthority is capped at an amount equal to the contract value</w:t>
      </w:r>
      <w:r w:rsidR="00DD5312" w:rsidRPr="00CA6498">
        <w:rPr>
          <w:sz w:val="22"/>
          <w:szCs w:val="22"/>
        </w:rPr>
        <w:t>.</w:t>
      </w:r>
    </w:p>
    <w:p w14:paraId="138E4F35" w14:textId="77777777" w:rsidR="001050EE" w:rsidRPr="00021EB3" w:rsidRDefault="001050EE" w:rsidP="00021EB3">
      <w:pPr>
        <w:spacing w:before="240"/>
        <w:ind w:left="1276" w:hanging="1276"/>
        <w:jc w:val="both"/>
        <w:rPr>
          <w:b/>
          <w:szCs w:val="24"/>
        </w:rPr>
      </w:pPr>
      <w:bookmarkStart w:id="13" w:name="_Toc76894423"/>
      <w:r w:rsidRPr="00CA6498">
        <w:rPr>
          <w:b/>
          <w:szCs w:val="24"/>
        </w:rPr>
        <w:t>Article 17</w:t>
      </w:r>
      <w:r w:rsidRPr="00CA6498">
        <w:rPr>
          <w:b/>
          <w:szCs w:val="24"/>
        </w:rPr>
        <w:tab/>
        <w:t>Programme</w:t>
      </w:r>
      <w:bookmarkEnd w:id="13"/>
      <w:r w:rsidRPr="00CA6498">
        <w:rPr>
          <w:b/>
          <w:szCs w:val="24"/>
        </w:rPr>
        <w:t xml:space="preserve"> of implementa</w:t>
      </w:r>
      <w:r w:rsidRPr="00021EB3">
        <w:rPr>
          <w:b/>
          <w:szCs w:val="24"/>
        </w:rPr>
        <w:t>tion of tasks</w:t>
      </w:r>
    </w:p>
    <w:p w14:paraId="5581544D" w14:textId="77777777" w:rsidR="003B6B13" w:rsidRDefault="003B6B13" w:rsidP="003B6B13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>
        <w:rPr>
          <w:sz w:val="22"/>
          <w:szCs w:val="22"/>
        </w:rPr>
        <w:t>17.1</w:t>
      </w:r>
      <w:r>
        <w:rPr>
          <w:sz w:val="22"/>
          <w:szCs w:val="22"/>
        </w:rPr>
        <w:tab/>
      </w:r>
      <w:r w:rsidRPr="003B6B13">
        <w:rPr>
          <w:sz w:val="22"/>
          <w:szCs w:val="22"/>
        </w:rPr>
        <w:t xml:space="preserve">The </w:t>
      </w:r>
      <w:r w:rsidR="00E806A3">
        <w:rPr>
          <w:sz w:val="22"/>
          <w:szCs w:val="22"/>
        </w:rPr>
        <w:t>c</w:t>
      </w:r>
      <w:r w:rsidRPr="003B6B13">
        <w:rPr>
          <w:sz w:val="22"/>
          <w:szCs w:val="22"/>
        </w:rPr>
        <w:t xml:space="preserve">ontractor shall provide the </w:t>
      </w:r>
      <w:r w:rsidR="00E806A3">
        <w:rPr>
          <w:sz w:val="22"/>
          <w:szCs w:val="22"/>
        </w:rPr>
        <w:t>s</w:t>
      </w:r>
      <w:r w:rsidRPr="003B6B13">
        <w:rPr>
          <w:sz w:val="22"/>
          <w:szCs w:val="22"/>
        </w:rPr>
        <w:t xml:space="preserve">upervisor with a simplified programme of implementation of the tasks. This programme shall include at least the order and time limits in which the </w:t>
      </w:r>
      <w:r w:rsidR="00E806A3">
        <w:rPr>
          <w:sz w:val="22"/>
          <w:szCs w:val="22"/>
        </w:rPr>
        <w:t>c</w:t>
      </w:r>
      <w:r w:rsidRPr="003B6B13">
        <w:rPr>
          <w:sz w:val="22"/>
          <w:szCs w:val="22"/>
        </w:rPr>
        <w:t>ontractor proposes to carry out the works, and shall be based on the tranche</w:t>
      </w:r>
      <w:r>
        <w:rPr>
          <w:sz w:val="22"/>
          <w:szCs w:val="22"/>
        </w:rPr>
        <w:t xml:space="preserve">s foreseen in </w:t>
      </w:r>
      <w:r w:rsidR="00E806A3">
        <w:rPr>
          <w:sz w:val="22"/>
          <w:szCs w:val="22"/>
        </w:rPr>
        <w:t>Article</w:t>
      </w:r>
      <w:r>
        <w:rPr>
          <w:sz w:val="22"/>
          <w:szCs w:val="22"/>
        </w:rPr>
        <w:t xml:space="preserve"> 49.1 of the special conditions.</w:t>
      </w:r>
    </w:p>
    <w:p w14:paraId="5D8BF085" w14:textId="77777777" w:rsidR="003B6B13" w:rsidRPr="00E725FE" w:rsidRDefault="003B6B13" w:rsidP="003B6B13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 w:rsidRPr="003B6B13">
        <w:rPr>
          <w:sz w:val="22"/>
          <w:szCs w:val="22"/>
        </w:rPr>
        <w:t xml:space="preserve">17.2. </w:t>
      </w:r>
      <w:r>
        <w:rPr>
          <w:sz w:val="22"/>
          <w:szCs w:val="22"/>
        </w:rPr>
        <w:tab/>
      </w:r>
      <w:r w:rsidRPr="003B6B13">
        <w:rPr>
          <w:sz w:val="22"/>
          <w:szCs w:val="22"/>
        </w:rPr>
        <w:t xml:space="preserve">The </w:t>
      </w:r>
      <w:r w:rsidR="00E806A3">
        <w:rPr>
          <w:sz w:val="22"/>
          <w:szCs w:val="22"/>
        </w:rPr>
        <w:t>s</w:t>
      </w:r>
      <w:r w:rsidRPr="003B6B13">
        <w:rPr>
          <w:sz w:val="22"/>
          <w:szCs w:val="22"/>
        </w:rPr>
        <w:t xml:space="preserve">upervisor shall return this document to the </w:t>
      </w:r>
      <w:r w:rsidR="00E806A3">
        <w:rPr>
          <w:sz w:val="22"/>
          <w:szCs w:val="22"/>
        </w:rPr>
        <w:t>c</w:t>
      </w:r>
      <w:r w:rsidRPr="003B6B13">
        <w:rPr>
          <w:sz w:val="22"/>
          <w:szCs w:val="22"/>
        </w:rPr>
        <w:t xml:space="preserve">ontractor with any relevant remarks within </w:t>
      </w:r>
      <w:r>
        <w:rPr>
          <w:sz w:val="22"/>
          <w:szCs w:val="22"/>
        </w:rPr>
        <w:t xml:space="preserve">10 </w:t>
      </w:r>
      <w:r w:rsidRPr="003B6B13">
        <w:rPr>
          <w:sz w:val="22"/>
          <w:szCs w:val="22"/>
        </w:rPr>
        <w:t xml:space="preserve">days of receipt, save where the </w:t>
      </w:r>
      <w:r w:rsidR="00E806A3">
        <w:rPr>
          <w:sz w:val="22"/>
          <w:szCs w:val="22"/>
        </w:rPr>
        <w:t>s</w:t>
      </w:r>
      <w:r w:rsidRPr="003B6B13">
        <w:rPr>
          <w:sz w:val="22"/>
          <w:szCs w:val="22"/>
        </w:rPr>
        <w:t xml:space="preserve">upervisor, within those </w:t>
      </w:r>
      <w:r>
        <w:rPr>
          <w:sz w:val="22"/>
          <w:szCs w:val="22"/>
        </w:rPr>
        <w:t>10</w:t>
      </w:r>
      <w:r w:rsidRPr="003B6B13">
        <w:rPr>
          <w:sz w:val="22"/>
          <w:szCs w:val="22"/>
        </w:rPr>
        <w:t xml:space="preserve"> days, notifies the </w:t>
      </w:r>
      <w:r w:rsidR="00E806A3">
        <w:rPr>
          <w:sz w:val="22"/>
          <w:szCs w:val="22"/>
        </w:rPr>
        <w:t>c</w:t>
      </w:r>
      <w:r w:rsidRPr="003B6B13">
        <w:rPr>
          <w:sz w:val="22"/>
          <w:szCs w:val="22"/>
        </w:rPr>
        <w:t>ontractor of its wish for a meeting in order to discuss the documents submitted.</w:t>
      </w:r>
    </w:p>
    <w:p w14:paraId="4B4913C3" w14:textId="77777777" w:rsidR="001050EE" w:rsidRPr="00021EB3" w:rsidRDefault="001050EE" w:rsidP="00021EB3">
      <w:pPr>
        <w:spacing w:before="240"/>
        <w:ind w:left="1276" w:hanging="1276"/>
        <w:jc w:val="both"/>
        <w:rPr>
          <w:b/>
          <w:szCs w:val="24"/>
        </w:rPr>
      </w:pPr>
      <w:bookmarkStart w:id="14" w:name="_Toc76894431"/>
      <w:r w:rsidRPr="00021EB3">
        <w:rPr>
          <w:b/>
          <w:szCs w:val="24"/>
        </w:rPr>
        <w:t>Article 34</w:t>
      </w:r>
      <w:r w:rsidRPr="00021EB3">
        <w:rPr>
          <w:b/>
          <w:szCs w:val="24"/>
        </w:rPr>
        <w:tab/>
        <w:t>Period of implementation of tasks</w:t>
      </w:r>
      <w:bookmarkEnd w:id="14"/>
    </w:p>
    <w:p w14:paraId="42D64749" w14:textId="05759CC8" w:rsidR="00E51794" w:rsidRPr="00E51794" w:rsidRDefault="001050EE" w:rsidP="00E51794">
      <w:pPr>
        <w:tabs>
          <w:tab w:val="left" w:pos="1276"/>
        </w:tabs>
        <w:spacing w:before="240" w:after="120"/>
        <w:ind w:left="1276" w:hanging="992"/>
        <w:jc w:val="both"/>
        <w:rPr>
          <w:sz w:val="22"/>
          <w:szCs w:val="22"/>
        </w:rPr>
      </w:pPr>
      <w:r w:rsidRPr="00021EB3">
        <w:rPr>
          <w:sz w:val="22"/>
          <w:szCs w:val="22"/>
        </w:rPr>
        <w:t>34.1</w:t>
      </w:r>
      <w:r w:rsidR="005E2764" w:rsidRPr="00E51794">
        <w:rPr>
          <w:sz w:val="22"/>
          <w:szCs w:val="22"/>
        </w:rPr>
        <w:tab/>
      </w:r>
      <w:r w:rsidR="00E51794" w:rsidRPr="00E51794">
        <w:rPr>
          <w:sz w:val="22"/>
          <w:szCs w:val="22"/>
        </w:rPr>
        <w:t xml:space="preserve">The period of implementation of tasks is </w:t>
      </w:r>
      <w:r w:rsidR="00056E8E">
        <w:rPr>
          <w:sz w:val="22"/>
          <w:szCs w:val="22"/>
        </w:rPr>
        <w:t>80 days</w:t>
      </w:r>
      <w:bookmarkStart w:id="15" w:name="_GoBack"/>
      <w:bookmarkEnd w:id="15"/>
      <w:r w:rsidR="00E51794" w:rsidRPr="00E51794">
        <w:rPr>
          <w:sz w:val="22"/>
          <w:szCs w:val="22"/>
        </w:rPr>
        <w:t>.</w:t>
      </w:r>
    </w:p>
    <w:p w14:paraId="7445FC99" w14:textId="77777777" w:rsidR="001050EE" w:rsidRPr="00021EB3" w:rsidRDefault="001050EE" w:rsidP="00021EB3">
      <w:pPr>
        <w:spacing w:before="240"/>
        <w:ind w:left="1276" w:hanging="1276"/>
        <w:jc w:val="both"/>
        <w:rPr>
          <w:b/>
          <w:szCs w:val="24"/>
        </w:rPr>
      </w:pPr>
      <w:bookmarkStart w:id="16" w:name="_Toc76894432"/>
      <w:r w:rsidRPr="00021EB3">
        <w:rPr>
          <w:b/>
          <w:szCs w:val="24"/>
        </w:rPr>
        <w:lastRenderedPageBreak/>
        <w:t>Article 36</w:t>
      </w:r>
      <w:r w:rsidRPr="00021EB3">
        <w:rPr>
          <w:b/>
          <w:szCs w:val="24"/>
        </w:rPr>
        <w:tab/>
        <w:t xml:space="preserve">Delays in </w:t>
      </w:r>
      <w:r w:rsidR="009639E9" w:rsidRPr="00021EB3">
        <w:rPr>
          <w:b/>
          <w:szCs w:val="24"/>
        </w:rPr>
        <w:t xml:space="preserve">the </w:t>
      </w:r>
      <w:r w:rsidRPr="00021EB3">
        <w:rPr>
          <w:b/>
          <w:szCs w:val="24"/>
        </w:rPr>
        <w:t>implementation of tasks</w:t>
      </w:r>
      <w:bookmarkEnd w:id="16"/>
    </w:p>
    <w:p w14:paraId="3BF85CCA" w14:textId="77777777" w:rsidR="001050EE" w:rsidRPr="00E725FE" w:rsidRDefault="001050EE" w:rsidP="00DD5312">
      <w:pPr>
        <w:spacing w:before="120" w:after="120"/>
        <w:ind w:left="1276" w:hanging="709"/>
        <w:jc w:val="both"/>
        <w:rPr>
          <w:sz w:val="22"/>
          <w:szCs w:val="22"/>
        </w:rPr>
      </w:pPr>
      <w:r w:rsidRPr="00021EB3">
        <w:rPr>
          <w:bCs/>
          <w:sz w:val="22"/>
          <w:szCs w:val="22"/>
        </w:rPr>
        <w:t>36.1</w:t>
      </w:r>
      <w:r w:rsidRPr="00021EB3">
        <w:rPr>
          <w:bCs/>
          <w:sz w:val="22"/>
          <w:szCs w:val="22"/>
        </w:rPr>
        <w:tab/>
      </w:r>
      <w:r w:rsidRPr="00DD5312">
        <w:rPr>
          <w:sz w:val="22"/>
          <w:szCs w:val="22"/>
        </w:rPr>
        <w:t>The rate of liquidated damages for delays in the completion of works shall be 0.1% of the contract price for every day or part thereof which elapses between the end of the period of implementation of tasks and the actual date of completion, up to a maximum amount of 10</w:t>
      </w:r>
      <w:r w:rsidR="00E725FE" w:rsidRPr="00DD5312">
        <w:rPr>
          <w:w w:val="50"/>
          <w:sz w:val="22"/>
          <w:szCs w:val="22"/>
        </w:rPr>
        <w:t> </w:t>
      </w:r>
      <w:r w:rsidRPr="00DD5312">
        <w:rPr>
          <w:sz w:val="22"/>
          <w:szCs w:val="22"/>
        </w:rPr>
        <w:t>% of the contract price or, if the contract is subdivided into phases, 10</w:t>
      </w:r>
      <w:r w:rsidR="00E725FE" w:rsidRPr="00DD5312">
        <w:rPr>
          <w:w w:val="50"/>
          <w:sz w:val="22"/>
          <w:szCs w:val="22"/>
        </w:rPr>
        <w:t> </w:t>
      </w:r>
      <w:r w:rsidRPr="00DD5312">
        <w:rPr>
          <w:sz w:val="22"/>
          <w:szCs w:val="22"/>
        </w:rPr>
        <w:t>% of the price of the phase concerned.</w:t>
      </w:r>
    </w:p>
    <w:p w14:paraId="0123CF4C" w14:textId="77777777" w:rsidR="001050EE" w:rsidRPr="00116CA6" w:rsidRDefault="001050EE" w:rsidP="00116CA6">
      <w:pPr>
        <w:spacing w:before="240"/>
        <w:ind w:left="1276" w:hanging="1276"/>
        <w:jc w:val="both"/>
        <w:rPr>
          <w:b/>
          <w:szCs w:val="24"/>
        </w:rPr>
      </w:pPr>
      <w:bookmarkStart w:id="17" w:name="_Toc76894437"/>
      <w:r w:rsidRPr="00116CA6">
        <w:rPr>
          <w:b/>
          <w:szCs w:val="24"/>
        </w:rPr>
        <w:t>Article 43</w:t>
      </w:r>
      <w:r w:rsidRPr="00116CA6">
        <w:rPr>
          <w:b/>
          <w:szCs w:val="24"/>
        </w:rPr>
        <w:tab/>
        <w:t>Ownership of plant and materials</w:t>
      </w:r>
      <w:bookmarkEnd w:id="17"/>
    </w:p>
    <w:p w14:paraId="55D4570C" w14:textId="77777777" w:rsidR="00DD5312" w:rsidRDefault="001050EE" w:rsidP="00A12DBD">
      <w:pPr>
        <w:spacing w:before="120" w:after="120"/>
        <w:ind w:left="1276" w:hanging="709"/>
        <w:jc w:val="both"/>
        <w:rPr>
          <w:sz w:val="22"/>
          <w:szCs w:val="22"/>
          <w:highlight w:val="yellow"/>
        </w:rPr>
      </w:pPr>
      <w:r w:rsidRPr="00A12DBD">
        <w:rPr>
          <w:bCs/>
          <w:sz w:val="22"/>
          <w:szCs w:val="22"/>
        </w:rPr>
        <w:t>43.2</w:t>
      </w:r>
      <w:r w:rsidRPr="00A12DBD">
        <w:rPr>
          <w:bCs/>
          <w:sz w:val="22"/>
          <w:szCs w:val="22"/>
        </w:rPr>
        <w:tab/>
      </w:r>
      <w:r w:rsidR="00DD5312" w:rsidRPr="00DD5312">
        <w:rPr>
          <w:bCs/>
          <w:sz w:val="22"/>
          <w:szCs w:val="22"/>
        </w:rPr>
        <w:t>T</w:t>
      </w:r>
      <w:r w:rsidRPr="00DD5312">
        <w:rPr>
          <w:sz w:val="22"/>
          <w:szCs w:val="22"/>
        </w:rPr>
        <w:t xml:space="preserve">he equipment, temporary structures, plant and materials on the site </w:t>
      </w:r>
      <w:r w:rsidR="00DD5312" w:rsidRPr="00DD5312">
        <w:rPr>
          <w:sz w:val="22"/>
          <w:szCs w:val="22"/>
        </w:rPr>
        <w:t xml:space="preserve">shall for the duration of the execution of the works, be vested in the </w:t>
      </w:r>
      <w:r w:rsidR="00E806A3">
        <w:rPr>
          <w:sz w:val="22"/>
          <w:szCs w:val="22"/>
        </w:rPr>
        <w:t>c</w:t>
      </w:r>
      <w:r w:rsidR="00DD5312" w:rsidRPr="00DD5312">
        <w:rPr>
          <w:sz w:val="22"/>
          <w:szCs w:val="22"/>
        </w:rPr>
        <w:t xml:space="preserve">ontracting </w:t>
      </w:r>
      <w:r w:rsidR="00E806A3">
        <w:rPr>
          <w:sz w:val="22"/>
          <w:szCs w:val="22"/>
        </w:rPr>
        <w:t>a</w:t>
      </w:r>
      <w:r w:rsidR="00DD5312" w:rsidRPr="00DD5312">
        <w:rPr>
          <w:sz w:val="22"/>
          <w:szCs w:val="22"/>
        </w:rPr>
        <w:t>uthority.</w:t>
      </w:r>
    </w:p>
    <w:p w14:paraId="4E1C494B" w14:textId="77777777" w:rsidR="001050EE" w:rsidRPr="00116CA6" w:rsidRDefault="001050EE" w:rsidP="00116CA6">
      <w:pPr>
        <w:spacing w:before="240"/>
        <w:ind w:left="1276" w:hanging="1276"/>
        <w:jc w:val="both"/>
        <w:rPr>
          <w:b/>
          <w:szCs w:val="24"/>
        </w:rPr>
      </w:pPr>
      <w:bookmarkStart w:id="18" w:name="_Toc76894438"/>
      <w:r w:rsidRPr="00116CA6">
        <w:rPr>
          <w:b/>
          <w:szCs w:val="24"/>
        </w:rPr>
        <w:t>Article 44:</w:t>
      </w:r>
      <w:r w:rsidRPr="00116CA6">
        <w:rPr>
          <w:b/>
          <w:szCs w:val="24"/>
        </w:rPr>
        <w:tab/>
        <w:t>General principles for payments</w:t>
      </w:r>
      <w:bookmarkEnd w:id="18"/>
    </w:p>
    <w:p w14:paraId="2E3490B3" w14:textId="6B17FD98" w:rsidR="001050EE" w:rsidRPr="00A12DBD" w:rsidRDefault="001050EE" w:rsidP="00A12DBD">
      <w:pPr>
        <w:tabs>
          <w:tab w:val="right" w:pos="9885"/>
        </w:tabs>
        <w:spacing w:before="120" w:after="120"/>
        <w:ind w:left="1276" w:hanging="709"/>
        <w:jc w:val="both"/>
        <w:rPr>
          <w:sz w:val="22"/>
          <w:szCs w:val="22"/>
        </w:rPr>
      </w:pPr>
      <w:r w:rsidRPr="00A12DBD">
        <w:rPr>
          <w:bCs/>
          <w:sz w:val="22"/>
          <w:szCs w:val="22"/>
        </w:rPr>
        <w:t>44.1</w:t>
      </w:r>
      <w:r w:rsidRPr="00A12DBD">
        <w:rPr>
          <w:sz w:val="22"/>
          <w:szCs w:val="22"/>
        </w:rPr>
        <w:tab/>
        <w:t>Payments shall be made in</w:t>
      </w:r>
      <w:r w:rsidR="005E2764">
        <w:rPr>
          <w:sz w:val="22"/>
          <w:szCs w:val="22"/>
        </w:rPr>
        <w:t xml:space="preserve"> ETB only</w:t>
      </w:r>
      <w:r w:rsidRPr="00A12DBD">
        <w:rPr>
          <w:sz w:val="22"/>
          <w:szCs w:val="22"/>
        </w:rPr>
        <w:t xml:space="preserve">. </w:t>
      </w:r>
    </w:p>
    <w:p w14:paraId="319FDD53" w14:textId="0D3FD4AF" w:rsidR="001050EE" w:rsidRPr="00A12DBD" w:rsidRDefault="005E2764" w:rsidP="005E2764">
      <w:pPr>
        <w:spacing w:before="120" w:after="120"/>
        <w:ind w:left="1276" w:hanging="709"/>
        <w:jc w:val="both"/>
        <w:rPr>
          <w:sz w:val="22"/>
          <w:szCs w:val="22"/>
        </w:rPr>
      </w:pPr>
      <w:r w:rsidRPr="005E2764">
        <w:rPr>
          <w:sz w:val="22"/>
          <w:szCs w:val="22"/>
        </w:rPr>
        <w:t xml:space="preserve">44.2 </w:t>
      </w:r>
      <w:r w:rsidR="00E51794">
        <w:rPr>
          <w:sz w:val="22"/>
          <w:szCs w:val="22"/>
        </w:rPr>
        <w:t xml:space="preserve">     </w:t>
      </w:r>
      <w:r w:rsidRPr="005E2764">
        <w:rPr>
          <w:sz w:val="22"/>
          <w:szCs w:val="22"/>
        </w:rPr>
        <w:t>Pre-financing payment to the contractor for the lump-sum advance shall be made within 60</w:t>
      </w:r>
    </w:p>
    <w:p w14:paraId="2E698D28" w14:textId="52F45830" w:rsidR="0077476F" w:rsidRPr="00CA6498" w:rsidRDefault="0077476F" w:rsidP="005E2764">
      <w:pPr>
        <w:spacing w:before="120" w:after="120"/>
        <w:jc w:val="both"/>
        <w:rPr>
          <w:sz w:val="22"/>
          <w:szCs w:val="22"/>
        </w:rPr>
      </w:pPr>
    </w:p>
    <w:p w14:paraId="7C9483E0" w14:textId="77777777" w:rsidR="00B47A2A" w:rsidRPr="00CA6498" w:rsidRDefault="00B47A2A" w:rsidP="00116CA6">
      <w:pPr>
        <w:spacing w:before="240"/>
        <w:ind w:left="1276" w:hanging="1276"/>
        <w:jc w:val="both"/>
        <w:rPr>
          <w:b/>
          <w:szCs w:val="24"/>
        </w:rPr>
      </w:pPr>
      <w:r w:rsidRPr="00CA6498">
        <w:rPr>
          <w:b/>
          <w:szCs w:val="24"/>
        </w:rPr>
        <w:t>Article 46</w:t>
      </w:r>
      <w:r w:rsidRPr="00CA6498">
        <w:rPr>
          <w:b/>
          <w:szCs w:val="24"/>
        </w:rPr>
        <w:tab/>
        <w:t>Pre-financing</w:t>
      </w:r>
    </w:p>
    <w:p w14:paraId="68941924" w14:textId="77777777" w:rsidR="007A05DD" w:rsidRPr="00CA6498" w:rsidRDefault="00A12DBD" w:rsidP="00A12DBD">
      <w:pPr>
        <w:spacing w:before="120" w:after="120"/>
        <w:ind w:left="1276" w:hanging="709"/>
        <w:jc w:val="both"/>
        <w:rPr>
          <w:sz w:val="22"/>
          <w:szCs w:val="22"/>
        </w:rPr>
      </w:pPr>
      <w:r w:rsidRPr="00CA6498">
        <w:rPr>
          <w:sz w:val="22"/>
          <w:szCs w:val="22"/>
        </w:rPr>
        <w:t>46.1</w:t>
      </w:r>
      <w:r w:rsidRPr="00CA6498">
        <w:rPr>
          <w:sz w:val="22"/>
          <w:szCs w:val="22"/>
        </w:rPr>
        <w:tab/>
      </w:r>
      <w:r w:rsidR="00714838" w:rsidRPr="00CA6498">
        <w:rPr>
          <w:sz w:val="22"/>
          <w:szCs w:val="22"/>
        </w:rPr>
        <w:t>The only pre</w:t>
      </w:r>
      <w:r w:rsidR="00CE3BAE">
        <w:rPr>
          <w:sz w:val="22"/>
          <w:szCs w:val="22"/>
        </w:rPr>
        <w:t>-</w:t>
      </w:r>
      <w:r w:rsidR="00714838" w:rsidRPr="00CA6498">
        <w:rPr>
          <w:sz w:val="22"/>
          <w:szCs w:val="22"/>
        </w:rPr>
        <w:t xml:space="preserve">financing </w:t>
      </w:r>
      <w:r w:rsidR="007A05DD" w:rsidRPr="00CA6498">
        <w:rPr>
          <w:sz w:val="22"/>
          <w:szCs w:val="22"/>
        </w:rPr>
        <w:t xml:space="preserve">granted to the </w:t>
      </w:r>
      <w:r w:rsidR="00CE3BAE">
        <w:rPr>
          <w:sz w:val="22"/>
          <w:szCs w:val="22"/>
        </w:rPr>
        <w:t>c</w:t>
      </w:r>
      <w:r w:rsidR="007A05DD" w:rsidRPr="00CA6498">
        <w:rPr>
          <w:sz w:val="22"/>
          <w:szCs w:val="22"/>
        </w:rPr>
        <w:t>ontractor</w:t>
      </w:r>
      <w:r w:rsidR="00714838" w:rsidRPr="00CA6498">
        <w:rPr>
          <w:sz w:val="22"/>
          <w:szCs w:val="22"/>
        </w:rPr>
        <w:t>, is the lump sum advance</w:t>
      </w:r>
      <w:r w:rsidR="00714838" w:rsidRPr="00CA6498">
        <w:t xml:space="preserve"> </w:t>
      </w:r>
      <w:r w:rsidR="00714838" w:rsidRPr="00CA6498">
        <w:rPr>
          <w:sz w:val="22"/>
          <w:szCs w:val="22"/>
        </w:rPr>
        <w:t>referred to in Article 46.1(a).</w:t>
      </w:r>
    </w:p>
    <w:p w14:paraId="14956228" w14:textId="77777777" w:rsidR="00714838" w:rsidRDefault="00A12DBD" w:rsidP="000C5CFF">
      <w:pPr>
        <w:spacing w:before="120" w:after="120"/>
        <w:ind w:left="1276" w:hanging="709"/>
        <w:jc w:val="both"/>
        <w:rPr>
          <w:sz w:val="22"/>
          <w:szCs w:val="22"/>
        </w:rPr>
      </w:pPr>
      <w:r w:rsidRPr="00CA6498">
        <w:rPr>
          <w:sz w:val="22"/>
          <w:szCs w:val="22"/>
        </w:rPr>
        <w:t>46.2</w:t>
      </w:r>
      <w:r w:rsidRPr="00CA6498">
        <w:rPr>
          <w:sz w:val="22"/>
          <w:szCs w:val="22"/>
        </w:rPr>
        <w:tab/>
      </w:r>
      <w:r w:rsidR="00714838" w:rsidRPr="00CA6498">
        <w:rPr>
          <w:sz w:val="22"/>
          <w:szCs w:val="22"/>
        </w:rPr>
        <w:t>By derogation to Article 46.</w:t>
      </w:r>
      <w:r w:rsidR="0066228C" w:rsidRPr="00CA6498">
        <w:rPr>
          <w:sz w:val="22"/>
          <w:szCs w:val="22"/>
        </w:rPr>
        <w:t>2</w:t>
      </w:r>
      <w:r w:rsidR="00714838" w:rsidRPr="00CA6498">
        <w:rPr>
          <w:sz w:val="22"/>
          <w:szCs w:val="22"/>
        </w:rPr>
        <w:t xml:space="preserve"> of the </w:t>
      </w:r>
      <w:r w:rsidR="00CE3BAE">
        <w:rPr>
          <w:sz w:val="22"/>
          <w:szCs w:val="22"/>
        </w:rPr>
        <w:t>g</w:t>
      </w:r>
      <w:r w:rsidR="00714838" w:rsidRPr="00CA6498">
        <w:rPr>
          <w:sz w:val="22"/>
          <w:szCs w:val="22"/>
        </w:rPr>
        <w:t xml:space="preserve">eneral </w:t>
      </w:r>
      <w:r w:rsidR="00CE3BAE">
        <w:rPr>
          <w:sz w:val="22"/>
          <w:szCs w:val="22"/>
        </w:rPr>
        <w:t>c</w:t>
      </w:r>
      <w:r w:rsidR="00714838" w:rsidRPr="00CA6498">
        <w:rPr>
          <w:sz w:val="22"/>
          <w:szCs w:val="22"/>
        </w:rPr>
        <w:t>onditions, the lump sum advance referred to in Article 46.1(a) shall be 20</w:t>
      </w:r>
      <w:r w:rsidR="008206C3" w:rsidRPr="00CA6498">
        <w:rPr>
          <w:sz w:val="22"/>
          <w:szCs w:val="22"/>
        </w:rPr>
        <w:t>% of the original contract price</w:t>
      </w:r>
      <w:r w:rsidR="00714838" w:rsidRPr="00CA6498">
        <w:rPr>
          <w:sz w:val="22"/>
          <w:szCs w:val="22"/>
        </w:rPr>
        <w:t>.</w:t>
      </w:r>
    </w:p>
    <w:p w14:paraId="07FBFDB8" w14:textId="4015991F" w:rsidR="008206C3" w:rsidRPr="00CA6498" w:rsidRDefault="005E2764" w:rsidP="00E51794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  <w:highlight w:val="yellow"/>
        </w:rPr>
        <w:t xml:space="preserve"> </w:t>
      </w:r>
    </w:p>
    <w:p w14:paraId="694136A9" w14:textId="4E607423" w:rsidR="001050EE" w:rsidRPr="00CA6498" w:rsidRDefault="001050EE" w:rsidP="00116CA6">
      <w:pPr>
        <w:spacing w:before="240"/>
        <w:ind w:left="1276" w:hanging="1276"/>
        <w:jc w:val="both"/>
        <w:rPr>
          <w:b/>
          <w:szCs w:val="24"/>
        </w:rPr>
      </w:pPr>
      <w:bookmarkStart w:id="19" w:name="_Toc76894440"/>
      <w:r w:rsidRPr="00CA6498">
        <w:rPr>
          <w:b/>
          <w:szCs w:val="24"/>
        </w:rPr>
        <w:t>Article 47</w:t>
      </w:r>
      <w:r w:rsidRPr="00CA6498">
        <w:rPr>
          <w:b/>
          <w:szCs w:val="24"/>
        </w:rPr>
        <w:tab/>
        <w:t>Retention monies</w:t>
      </w:r>
      <w:bookmarkEnd w:id="19"/>
    </w:p>
    <w:p w14:paraId="05DAE1CA" w14:textId="77777777" w:rsidR="001050EE" w:rsidRPr="00CA6498" w:rsidRDefault="001050EE" w:rsidP="00527F31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 w:rsidRPr="00CA6498">
        <w:rPr>
          <w:bCs/>
          <w:sz w:val="22"/>
          <w:szCs w:val="22"/>
        </w:rPr>
        <w:t>47.1</w:t>
      </w:r>
      <w:r w:rsidRPr="00CA6498">
        <w:rPr>
          <w:bCs/>
          <w:sz w:val="22"/>
          <w:szCs w:val="22"/>
        </w:rPr>
        <w:tab/>
      </w:r>
      <w:r w:rsidR="00416BB4" w:rsidRPr="00CA6498">
        <w:rPr>
          <w:bCs/>
          <w:sz w:val="22"/>
          <w:szCs w:val="22"/>
        </w:rPr>
        <w:t xml:space="preserve">The </w:t>
      </w:r>
      <w:r w:rsidR="00FA70E2" w:rsidRPr="00CA6498">
        <w:rPr>
          <w:bCs/>
          <w:sz w:val="22"/>
          <w:szCs w:val="22"/>
        </w:rPr>
        <w:t xml:space="preserve">sum retained </w:t>
      </w:r>
      <w:r w:rsidRPr="00CA6498">
        <w:rPr>
          <w:sz w:val="22"/>
          <w:szCs w:val="22"/>
        </w:rPr>
        <w:t xml:space="preserve">to guarantee implementation of the </w:t>
      </w:r>
      <w:r w:rsidR="00B6292A">
        <w:rPr>
          <w:sz w:val="22"/>
          <w:szCs w:val="22"/>
        </w:rPr>
        <w:t>c</w:t>
      </w:r>
      <w:r w:rsidRPr="00CA6498">
        <w:rPr>
          <w:sz w:val="22"/>
          <w:szCs w:val="22"/>
        </w:rPr>
        <w:t>ontractor</w:t>
      </w:r>
      <w:r w:rsidR="00E725FE" w:rsidRPr="00CA6498">
        <w:rPr>
          <w:sz w:val="22"/>
          <w:szCs w:val="22"/>
        </w:rPr>
        <w:t>’</w:t>
      </w:r>
      <w:r w:rsidRPr="00CA6498">
        <w:rPr>
          <w:sz w:val="22"/>
          <w:szCs w:val="22"/>
        </w:rPr>
        <w:t>s obligations during the defects liability period is</w:t>
      </w:r>
      <w:r w:rsidR="00494A0D" w:rsidRPr="00CA6498">
        <w:rPr>
          <w:sz w:val="22"/>
          <w:szCs w:val="22"/>
        </w:rPr>
        <w:t xml:space="preserve"> </w:t>
      </w:r>
      <w:r w:rsidRPr="00CA6498">
        <w:rPr>
          <w:sz w:val="22"/>
          <w:szCs w:val="22"/>
        </w:rPr>
        <w:t>10</w:t>
      </w:r>
      <w:r w:rsidR="00E725FE" w:rsidRPr="00CA6498">
        <w:rPr>
          <w:w w:val="50"/>
          <w:sz w:val="22"/>
          <w:szCs w:val="22"/>
        </w:rPr>
        <w:t> </w:t>
      </w:r>
      <w:r w:rsidRPr="00CA6498">
        <w:rPr>
          <w:sz w:val="22"/>
          <w:szCs w:val="22"/>
        </w:rPr>
        <w:t xml:space="preserve">% of </w:t>
      </w:r>
      <w:r w:rsidR="00FA70E2" w:rsidRPr="00CA6498">
        <w:rPr>
          <w:sz w:val="22"/>
          <w:szCs w:val="22"/>
        </w:rPr>
        <w:t xml:space="preserve">the contract price. By derogation to </w:t>
      </w:r>
      <w:r w:rsidR="008206C3" w:rsidRPr="00CA6498">
        <w:rPr>
          <w:sz w:val="22"/>
          <w:szCs w:val="22"/>
        </w:rPr>
        <w:t>A</w:t>
      </w:r>
      <w:r w:rsidR="00FA70E2" w:rsidRPr="00CA6498">
        <w:rPr>
          <w:sz w:val="22"/>
          <w:szCs w:val="22"/>
        </w:rPr>
        <w:t>rticle 47.1</w:t>
      </w:r>
      <w:r w:rsidR="008206C3" w:rsidRPr="00CA6498">
        <w:rPr>
          <w:sz w:val="22"/>
          <w:szCs w:val="22"/>
        </w:rPr>
        <w:t xml:space="preserve"> of the </w:t>
      </w:r>
      <w:r w:rsidR="00B6292A">
        <w:rPr>
          <w:sz w:val="22"/>
          <w:szCs w:val="22"/>
        </w:rPr>
        <w:t>g</w:t>
      </w:r>
      <w:r w:rsidR="008206C3" w:rsidRPr="00CA6498">
        <w:rPr>
          <w:sz w:val="22"/>
          <w:szCs w:val="22"/>
        </w:rPr>
        <w:t xml:space="preserve">eneral </w:t>
      </w:r>
      <w:r w:rsidR="00B6292A">
        <w:rPr>
          <w:sz w:val="22"/>
          <w:szCs w:val="22"/>
        </w:rPr>
        <w:t>c</w:t>
      </w:r>
      <w:r w:rsidR="008206C3" w:rsidRPr="00CA6498">
        <w:rPr>
          <w:sz w:val="22"/>
          <w:szCs w:val="22"/>
        </w:rPr>
        <w:t>onditions</w:t>
      </w:r>
      <w:r w:rsidR="00FA70E2" w:rsidRPr="00CA6498">
        <w:rPr>
          <w:sz w:val="22"/>
          <w:szCs w:val="22"/>
        </w:rPr>
        <w:t xml:space="preserve">, that money is not retained from interim </w:t>
      </w:r>
      <w:r w:rsidR="007A05DD" w:rsidRPr="00CA6498">
        <w:rPr>
          <w:sz w:val="22"/>
          <w:szCs w:val="22"/>
        </w:rPr>
        <w:t>payments.</w:t>
      </w:r>
      <w:r w:rsidR="00BC68E5" w:rsidRPr="00CA6498">
        <w:t xml:space="preserve"> </w:t>
      </w:r>
      <w:r w:rsidR="00BC68E5" w:rsidRPr="00CA6498">
        <w:rPr>
          <w:sz w:val="22"/>
          <w:szCs w:val="22"/>
        </w:rPr>
        <w:t xml:space="preserve">The tranches laid down in Article 49.1 of these </w:t>
      </w:r>
      <w:r w:rsidR="00B6292A">
        <w:rPr>
          <w:sz w:val="22"/>
          <w:szCs w:val="22"/>
        </w:rPr>
        <w:t>s</w:t>
      </w:r>
      <w:r w:rsidR="00BC68E5" w:rsidRPr="00CA6498">
        <w:rPr>
          <w:sz w:val="22"/>
          <w:szCs w:val="22"/>
        </w:rPr>
        <w:t xml:space="preserve">pecial </w:t>
      </w:r>
      <w:r w:rsidR="00B6292A">
        <w:rPr>
          <w:sz w:val="22"/>
          <w:szCs w:val="22"/>
        </w:rPr>
        <w:t>c</w:t>
      </w:r>
      <w:r w:rsidR="00BC68E5" w:rsidRPr="00CA6498">
        <w:rPr>
          <w:sz w:val="22"/>
          <w:szCs w:val="22"/>
        </w:rPr>
        <w:t xml:space="preserve">onditions are determined so that the retention sum amounts to 10% of the contract price at the moment of the </w:t>
      </w:r>
      <w:r w:rsidR="00B6292A">
        <w:rPr>
          <w:sz w:val="22"/>
          <w:szCs w:val="22"/>
        </w:rPr>
        <w:t>c</w:t>
      </w:r>
      <w:r w:rsidR="00BC68E5" w:rsidRPr="00CA6498">
        <w:rPr>
          <w:sz w:val="22"/>
          <w:szCs w:val="22"/>
        </w:rPr>
        <w:t xml:space="preserve">ertificate of provisional acceptance. </w:t>
      </w:r>
    </w:p>
    <w:p w14:paraId="3914C78B" w14:textId="77777777" w:rsidR="00872A2E" w:rsidRPr="00CA6498" w:rsidRDefault="00872A2E" w:rsidP="00527F31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 w:rsidRPr="00CA6498">
        <w:rPr>
          <w:bCs/>
          <w:sz w:val="22"/>
          <w:szCs w:val="22"/>
        </w:rPr>
        <w:t>47.2</w:t>
      </w:r>
      <w:r w:rsidRPr="00CA6498">
        <w:rPr>
          <w:bCs/>
          <w:sz w:val="22"/>
          <w:szCs w:val="22"/>
        </w:rPr>
        <w:tab/>
        <w:t xml:space="preserve">By derogation to Article 47.2 of the </w:t>
      </w:r>
      <w:r w:rsidR="00B6292A">
        <w:rPr>
          <w:bCs/>
          <w:sz w:val="22"/>
          <w:szCs w:val="22"/>
        </w:rPr>
        <w:t>g</w:t>
      </w:r>
      <w:r w:rsidRPr="00CA6498">
        <w:rPr>
          <w:bCs/>
          <w:sz w:val="22"/>
          <w:szCs w:val="22"/>
        </w:rPr>
        <w:t xml:space="preserve">eneral </w:t>
      </w:r>
      <w:r w:rsidR="00B6292A">
        <w:rPr>
          <w:bCs/>
          <w:sz w:val="22"/>
          <w:szCs w:val="22"/>
        </w:rPr>
        <w:t>c</w:t>
      </w:r>
      <w:r w:rsidRPr="00CA6498">
        <w:rPr>
          <w:bCs/>
          <w:sz w:val="22"/>
          <w:szCs w:val="22"/>
        </w:rPr>
        <w:t>onditions, the retention sums cannot be substituted by a retention guarantee.</w:t>
      </w:r>
    </w:p>
    <w:p w14:paraId="6D37EC12" w14:textId="77777777" w:rsidR="001050EE" w:rsidRPr="00CA6498" w:rsidRDefault="001050EE" w:rsidP="00116CA6">
      <w:pPr>
        <w:spacing w:before="240"/>
        <w:ind w:left="1276" w:hanging="1276"/>
        <w:jc w:val="both"/>
        <w:rPr>
          <w:b/>
          <w:szCs w:val="24"/>
        </w:rPr>
      </w:pPr>
      <w:bookmarkStart w:id="20" w:name="_Toc76894441"/>
      <w:r w:rsidRPr="00CA6498">
        <w:rPr>
          <w:b/>
          <w:szCs w:val="24"/>
        </w:rPr>
        <w:t>Article 48</w:t>
      </w:r>
      <w:r w:rsidRPr="00CA6498">
        <w:rPr>
          <w:b/>
          <w:szCs w:val="24"/>
        </w:rPr>
        <w:tab/>
        <w:t>Price revision</w:t>
      </w:r>
      <w:bookmarkEnd w:id="20"/>
    </w:p>
    <w:p w14:paraId="156860CF" w14:textId="77777777" w:rsidR="001961E3" w:rsidRPr="00CA6498" w:rsidRDefault="001961E3" w:rsidP="001961E3">
      <w:pPr>
        <w:spacing w:before="120" w:after="60"/>
        <w:ind w:firstLine="720"/>
        <w:jc w:val="both"/>
        <w:rPr>
          <w:sz w:val="22"/>
          <w:szCs w:val="22"/>
        </w:rPr>
      </w:pPr>
      <w:r w:rsidRPr="00CA6498">
        <w:rPr>
          <w:sz w:val="22"/>
          <w:szCs w:val="22"/>
        </w:rPr>
        <w:t>48.1</w:t>
      </w:r>
      <w:r w:rsidRPr="00CA6498">
        <w:rPr>
          <w:sz w:val="22"/>
          <w:szCs w:val="22"/>
        </w:rPr>
        <w:tab/>
      </w:r>
      <w:r w:rsidR="00E11172" w:rsidRPr="00CA6498">
        <w:rPr>
          <w:sz w:val="22"/>
          <w:szCs w:val="22"/>
        </w:rPr>
        <w:t xml:space="preserve">Prices </w:t>
      </w:r>
      <w:r w:rsidRPr="00CA6498">
        <w:rPr>
          <w:sz w:val="22"/>
          <w:szCs w:val="22"/>
        </w:rPr>
        <w:t>are fixed and shall not be revised.</w:t>
      </w:r>
    </w:p>
    <w:p w14:paraId="605698D3" w14:textId="77777777" w:rsidR="001050EE" w:rsidRPr="00CA6498" w:rsidRDefault="001050EE" w:rsidP="00116CA6">
      <w:pPr>
        <w:spacing w:before="240"/>
        <w:ind w:left="1276" w:hanging="1276"/>
        <w:jc w:val="both"/>
        <w:rPr>
          <w:b/>
          <w:szCs w:val="24"/>
        </w:rPr>
      </w:pPr>
      <w:bookmarkStart w:id="21" w:name="_Toc76894442"/>
      <w:r w:rsidRPr="00CA6498">
        <w:rPr>
          <w:b/>
          <w:szCs w:val="24"/>
        </w:rPr>
        <w:t>Article 49</w:t>
      </w:r>
      <w:r w:rsidRPr="00CA6498">
        <w:rPr>
          <w:b/>
          <w:szCs w:val="24"/>
        </w:rPr>
        <w:tab/>
        <w:t>Measurement</w:t>
      </w:r>
      <w:bookmarkEnd w:id="21"/>
    </w:p>
    <w:p w14:paraId="7531B642" w14:textId="77777777" w:rsidR="007A05DD" w:rsidRPr="00CA6498" w:rsidRDefault="001050EE" w:rsidP="00A37F5E">
      <w:pPr>
        <w:spacing w:before="120" w:after="120"/>
        <w:ind w:left="1276" w:hanging="709"/>
        <w:jc w:val="both"/>
        <w:rPr>
          <w:sz w:val="22"/>
          <w:szCs w:val="22"/>
        </w:rPr>
      </w:pPr>
      <w:r w:rsidRPr="00CA6498">
        <w:rPr>
          <w:bCs/>
          <w:sz w:val="22"/>
          <w:szCs w:val="22"/>
        </w:rPr>
        <w:t>49.1</w:t>
      </w:r>
      <w:r w:rsidRPr="00CA6498">
        <w:rPr>
          <w:bCs/>
          <w:sz w:val="22"/>
          <w:szCs w:val="22"/>
        </w:rPr>
        <w:tab/>
      </w:r>
      <w:r w:rsidRPr="00CA6498">
        <w:rPr>
          <w:sz w:val="22"/>
          <w:szCs w:val="22"/>
        </w:rPr>
        <w:t>This is a lump</w:t>
      </w:r>
      <w:r w:rsidRPr="00CA6498">
        <w:rPr>
          <w:sz w:val="22"/>
          <w:szCs w:val="22"/>
        </w:rPr>
        <w:noBreakHyphen/>
        <w:t>sum contract.</w:t>
      </w:r>
      <w:r w:rsidR="001961E3" w:rsidRPr="00CA6498">
        <w:rPr>
          <w:sz w:val="22"/>
          <w:szCs w:val="22"/>
        </w:rPr>
        <w:t xml:space="preserve"> </w:t>
      </w:r>
    </w:p>
    <w:p w14:paraId="0F29F97E" w14:textId="77777777" w:rsidR="00A37F5E" w:rsidRPr="00CA6498" w:rsidRDefault="00852024" w:rsidP="007A05DD">
      <w:pPr>
        <w:spacing w:before="120" w:after="120"/>
        <w:ind w:left="1276"/>
        <w:jc w:val="both"/>
        <w:rPr>
          <w:sz w:val="22"/>
          <w:szCs w:val="22"/>
        </w:rPr>
      </w:pPr>
      <w:r w:rsidRPr="00CA6498">
        <w:rPr>
          <w:sz w:val="22"/>
          <w:szCs w:val="22"/>
        </w:rPr>
        <w:t xml:space="preserve">Under the conditions imposed by the </w:t>
      </w:r>
      <w:r w:rsidR="00B6292A">
        <w:rPr>
          <w:sz w:val="22"/>
          <w:szCs w:val="22"/>
        </w:rPr>
        <w:t>s</w:t>
      </w:r>
      <w:r w:rsidRPr="00CA6498">
        <w:rPr>
          <w:sz w:val="22"/>
          <w:szCs w:val="22"/>
        </w:rPr>
        <w:t xml:space="preserve">pecial </w:t>
      </w:r>
      <w:r w:rsidR="00B6292A">
        <w:rPr>
          <w:sz w:val="22"/>
          <w:szCs w:val="22"/>
        </w:rPr>
        <w:t>c</w:t>
      </w:r>
      <w:r w:rsidRPr="00CA6498">
        <w:rPr>
          <w:sz w:val="22"/>
          <w:szCs w:val="22"/>
        </w:rPr>
        <w:t xml:space="preserve">onditions and </w:t>
      </w:r>
      <w:r w:rsidR="00B6292A">
        <w:rPr>
          <w:sz w:val="22"/>
          <w:szCs w:val="22"/>
        </w:rPr>
        <w:t>g</w:t>
      </w:r>
      <w:r w:rsidRPr="00CA6498">
        <w:rPr>
          <w:sz w:val="22"/>
          <w:szCs w:val="22"/>
        </w:rPr>
        <w:t xml:space="preserve">eneral </w:t>
      </w:r>
      <w:r w:rsidR="00B6292A">
        <w:rPr>
          <w:sz w:val="22"/>
          <w:szCs w:val="22"/>
        </w:rPr>
        <w:t>c</w:t>
      </w:r>
      <w:r w:rsidRPr="00CA6498">
        <w:rPr>
          <w:sz w:val="22"/>
          <w:szCs w:val="22"/>
        </w:rPr>
        <w:t>onditions, the</w:t>
      </w:r>
      <w:r w:rsidR="001050EE" w:rsidRPr="00CA6498">
        <w:rPr>
          <w:sz w:val="22"/>
          <w:szCs w:val="22"/>
        </w:rPr>
        <w:t xml:space="preserve"> amounts due shall be </w:t>
      </w:r>
      <w:r w:rsidR="00252888" w:rsidRPr="00CA6498">
        <w:rPr>
          <w:sz w:val="22"/>
          <w:szCs w:val="22"/>
        </w:rPr>
        <w:t>ca</w:t>
      </w:r>
      <w:r w:rsidR="00A37F5E" w:rsidRPr="00CA6498">
        <w:rPr>
          <w:sz w:val="22"/>
          <w:szCs w:val="22"/>
        </w:rPr>
        <w:t>lculated through the following tranches</w:t>
      </w:r>
      <w:r w:rsidR="007A05DD" w:rsidRPr="00CA6498">
        <w:rPr>
          <w:sz w:val="22"/>
          <w:szCs w:val="22"/>
        </w:rPr>
        <w:t>, expressed as percentage of the contract price: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76"/>
        <w:gridCol w:w="2552"/>
        <w:gridCol w:w="3890"/>
      </w:tblGrid>
      <w:tr w:rsidR="00A44D93" w:rsidRPr="00CA6498" w14:paraId="226847D1" w14:textId="77777777" w:rsidTr="00CA6498">
        <w:tc>
          <w:tcPr>
            <w:tcW w:w="533" w:type="dxa"/>
            <w:shd w:val="clear" w:color="auto" w:fill="auto"/>
          </w:tcPr>
          <w:p w14:paraId="5854FF75" w14:textId="77777777" w:rsidR="00A44D93" w:rsidRPr="00CA6498" w:rsidRDefault="00A44D93" w:rsidP="005967F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FD91D8B" w14:textId="77777777" w:rsidR="00A44D93" w:rsidRPr="00CA6498" w:rsidRDefault="00A44D93" w:rsidP="005967F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CA6498">
              <w:rPr>
                <w:b/>
                <w:sz w:val="22"/>
                <w:szCs w:val="22"/>
              </w:rPr>
              <w:t>Percentage</w:t>
            </w:r>
          </w:p>
        </w:tc>
        <w:tc>
          <w:tcPr>
            <w:tcW w:w="2552" w:type="dxa"/>
            <w:shd w:val="clear" w:color="auto" w:fill="auto"/>
          </w:tcPr>
          <w:p w14:paraId="574F48DE" w14:textId="77777777" w:rsidR="00A44D93" w:rsidRPr="00CA6498" w:rsidRDefault="00A44D93" w:rsidP="005967F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CA6498">
              <w:rPr>
                <w:b/>
                <w:sz w:val="22"/>
                <w:szCs w:val="22"/>
              </w:rPr>
              <w:t>Nature</w:t>
            </w:r>
          </w:p>
        </w:tc>
        <w:tc>
          <w:tcPr>
            <w:tcW w:w="3890" w:type="dxa"/>
            <w:shd w:val="clear" w:color="auto" w:fill="auto"/>
          </w:tcPr>
          <w:p w14:paraId="17AB51A8" w14:textId="77777777" w:rsidR="00A44D93" w:rsidRPr="00CA6498" w:rsidRDefault="00A44D93" w:rsidP="005967F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CA6498">
              <w:rPr>
                <w:b/>
                <w:sz w:val="22"/>
                <w:szCs w:val="22"/>
              </w:rPr>
              <w:t>Timing</w:t>
            </w:r>
          </w:p>
        </w:tc>
      </w:tr>
      <w:tr w:rsidR="00A44D93" w:rsidRPr="00CA6498" w14:paraId="02D7518C" w14:textId="77777777" w:rsidTr="00CA6498">
        <w:tc>
          <w:tcPr>
            <w:tcW w:w="533" w:type="dxa"/>
            <w:shd w:val="clear" w:color="auto" w:fill="auto"/>
          </w:tcPr>
          <w:p w14:paraId="1597CFBB" w14:textId="77777777" w:rsidR="00A44D93" w:rsidRPr="00CA6498" w:rsidRDefault="00A44D93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14:paraId="7C08F240" w14:textId="77777777" w:rsidR="00A44D93" w:rsidRPr="00CA6498" w:rsidRDefault="00215FF5" w:rsidP="005967F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2</w:t>
            </w:r>
            <w:r w:rsidR="00A44D93" w:rsidRPr="00CA6498">
              <w:rPr>
                <w:sz w:val="22"/>
                <w:szCs w:val="22"/>
              </w:rPr>
              <w:t>0%</w:t>
            </w:r>
          </w:p>
        </w:tc>
        <w:tc>
          <w:tcPr>
            <w:tcW w:w="2552" w:type="dxa"/>
            <w:shd w:val="clear" w:color="auto" w:fill="auto"/>
          </w:tcPr>
          <w:p w14:paraId="7E427FBA" w14:textId="77777777" w:rsidR="00A44D93" w:rsidRPr="00CA6498" w:rsidRDefault="00A44D93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Lump-sum advance of Article 46.1(a)</w:t>
            </w:r>
          </w:p>
        </w:tc>
        <w:tc>
          <w:tcPr>
            <w:tcW w:w="3890" w:type="dxa"/>
            <w:shd w:val="clear" w:color="auto" w:fill="auto"/>
          </w:tcPr>
          <w:p w14:paraId="582AF3C9" w14:textId="77777777" w:rsidR="00A44D93" w:rsidRPr="00CA6498" w:rsidRDefault="00852024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A</w:t>
            </w:r>
            <w:r w:rsidR="00A44D93" w:rsidRPr="00CA6498">
              <w:rPr>
                <w:sz w:val="22"/>
                <w:szCs w:val="22"/>
              </w:rPr>
              <w:t xml:space="preserve">fter </w:t>
            </w:r>
            <w:r w:rsidRPr="00CA6498">
              <w:rPr>
                <w:sz w:val="22"/>
                <w:szCs w:val="22"/>
              </w:rPr>
              <w:t>c</w:t>
            </w:r>
            <w:r w:rsidR="00A44D93" w:rsidRPr="00CA6498">
              <w:rPr>
                <w:sz w:val="22"/>
                <w:szCs w:val="22"/>
              </w:rPr>
              <w:t>onclusion of the contract</w:t>
            </w:r>
          </w:p>
        </w:tc>
      </w:tr>
      <w:tr w:rsidR="00A44D93" w:rsidRPr="005967FA" w14:paraId="51A2FE96" w14:textId="77777777" w:rsidTr="00CA6498">
        <w:tc>
          <w:tcPr>
            <w:tcW w:w="533" w:type="dxa"/>
            <w:shd w:val="clear" w:color="auto" w:fill="auto"/>
          </w:tcPr>
          <w:p w14:paraId="19600E13" w14:textId="77777777" w:rsidR="00A44D93" w:rsidRPr="00CA6498" w:rsidRDefault="00215FF5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2</w:t>
            </w:r>
            <w:r w:rsidR="00A44D93" w:rsidRPr="00CA649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1508BACF" w14:textId="77777777" w:rsidR="00A44D93" w:rsidRPr="00CA6498" w:rsidRDefault="00A44D93" w:rsidP="005967F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…%</w:t>
            </w:r>
          </w:p>
        </w:tc>
        <w:tc>
          <w:tcPr>
            <w:tcW w:w="2552" w:type="dxa"/>
            <w:shd w:val="clear" w:color="auto" w:fill="auto"/>
          </w:tcPr>
          <w:p w14:paraId="0AF361C2" w14:textId="77777777" w:rsidR="00A44D93" w:rsidRPr="00CA6498" w:rsidRDefault="00A44D93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Interim payment of Article 50</w:t>
            </w:r>
          </w:p>
        </w:tc>
        <w:tc>
          <w:tcPr>
            <w:tcW w:w="3890" w:type="dxa"/>
            <w:shd w:val="clear" w:color="auto" w:fill="auto"/>
          </w:tcPr>
          <w:p w14:paraId="3FAC576E" w14:textId="29866B3B" w:rsidR="00B77041" w:rsidRPr="002D268B" w:rsidRDefault="00B77041" w:rsidP="002D268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2D268B">
              <w:rPr>
                <w:sz w:val="22"/>
                <w:szCs w:val="22"/>
              </w:rPr>
              <w:t xml:space="preserve">After completion of &lt;to be determined phase in construction&gt; </w:t>
            </w:r>
            <w:r w:rsidR="007A05DD" w:rsidRPr="002D268B">
              <w:rPr>
                <w:sz w:val="22"/>
                <w:szCs w:val="22"/>
              </w:rPr>
              <w:t>[</w:t>
            </w:r>
            <w:r w:rsidRPr="002D268B">
              <w:rPr>
                <w:sz w:val="22"/>
                <w:szCs w:val="22"/>
              </w:rPr>
              <w:t xml:space="preserve">When determining the % of the interim payment, </w:t>
            </w:r>
            <w:r w:rsidRPr="002D268B">
              <w:rPr>
                <w:sz w:val="22"/>
                <w:szCs w:val="22"/>
              </w:rPr>
              <w:lastRenderedPageBreak/>
              <w:t xml:space="preserve">take account that 1) the </w:t>
            </w:r>
            <w:r w:rsidR="00215FF5" w:rsidRPr="002D268B">
              <w:rPr>
                <w:sz w:val="22"/>
                <w:szCs w:val="22"/>
              </w:rPr>
              <w:t>2</w:t>
            </w:r>
            <w:r w:rsidRPr="002D268B">
              <w:rPr>
                <w:sz w:val="22"/>
                <w:szCs w:val="22"/>
              </w:rPr>
              <w:t>0% pre-financing</w:t>
            </w:r>
            <w:r w:rsidR="00215FF5" w:rsidRPr="002D268B">
              <w:rPr>
                <w:sz w:val="22"/>
                <w:szCs w:val="22"/>
              </w:rPr>
              <w:t xml:space="preserve"> is </w:t>
            </w:r>
            <w:r w:rsidRPr="002D268B">
              <w:rPr>
                <w:sz w:val="22"/>
                <w:szCs w:val="22"/>
              </w:rPr>
              <w:t xml:space="preserve">not repaid through each interim payment and 2) the 10% retention sum is neither deducted from each interim payment: the interim payment tranches should hence be determined in such a way as to </w:t>
            </w:r>
            <w:r w:rsidR="007A05DD" w:rsidRPr="002D268B">
              <w:rPr>
                <w:sz w:val="22"/>
                <w:szCs w:val="22"/>
              </w:rPr>
              <w:t xml:space="preserve">implicitly </w:t>
            </w:r>
            <w:r w:rsidRPr="002D268B">
              <w:rPr>
                <w:sz w:val="22"/>
                <w:szCs w:val="22"/>
              </w:rPr>
              <w:t xml:space="preserve">recuperate </w:t>
            </w:r>
            <w:r w:rsidR="007A05DD" w:rsidRPr="002D268B">
              <w:rPr>
                <w:sz w:val="22"/>
                <w:szCs w:val="22"/>
              </w:rPr>
              <w:t>the</w:t>
            </w:r>
            <w:r w:rsidR="00215FF5" w:rsidRPr="002D268B">
              <w:rPr>
                <w:sz w:val="22"/>
                <w:szCs w:val="22"/>
              </w:rPr>
              <w:t xml:space="preserve"> 2</w:t>
            </w:r>
            <w:r w:rsidR="007A05DD" w:rsidRPr="002D268B">
              <w:rPr>
                <w:sz w:val="22"/>
                <w:szCs w:val="22"/>
              </w:rPr>
              <w:t>0% pre-financings, while keeping 10% unpaid after provisional acceptance].</w:t>
            </w:r>
          </w:p>
        </w:tc>
      </w:tr>
      <w:tr w:rsidR="00A44D93" w:rsidRPr="005967FA" w14:paraId="4A27EF77" w14:textId="77777777" w:rsidTr="00CA6498">
        <w:tc>
          <w:tcPr>
            <w:tcW w:w="533" w:type="dxa"/>
            <w:shd w:val="clear" w:color="auto" w:fill="auto"/>
          </w:tcPr>
          <w:p w14:paraId="750DA258" w14:textId="77777777" w:rsidR="00A44D93" w:rsidRPr="00CA6498" w:rsidRDefault="00A44D93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276" w:type="dxa"/>
            <w:shd w:val="clear" w:color="auto" w:fill="auto"/>
          </w:tcPr>
          <w:p w14:paraId="271A12B7" w14:textId="77777777" w:rsidR="00A44D93" w:rsidRPr="00CA6498" w:rsidRDefault="00A44D93" w:rsidP="005967F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…%</w:t>
            </w:r>
          </w:p>
        </w:tc>
        <w:tc>
          <w:tcPr>
            <w:tcW w:w="2552" w:type="dxa"/>
            <w:shd w:val="clear" w:color="auto" w:fill="auto"/>
          </w:tcPr>
          <w:p w14:paraId="2E4CBCFD" w14:textId="77777777" w:rsidR="00A44D93" w:rsidRPr="00CA6498" w:rsidRDefault="00A44D93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Interim payment of Article 50</w:t>
            </w:r>
          </w:p>
        </w:tc>
        <w:tc>
          <w:tcPr>
            <w:tcW w:w="3890" w:type="dxa"/>
            <w:shd w:val="clear" w:color="auto" w:fill="auto"/>
          </w:tcPr>
          <w:p w14:paraId="50FB0CD4" w14:textId="77777777" w:rsidR="00A44D93" w:rsidRPr="00CA6498" w:rsidRDefault="007A05DD" w:rsidP="00925D95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[as above]</w:t>
            </w:r>
          </w:p>
        </w:tc>
      </w:tr>
      <w:tr w:rsidR="00A44D93" w:rsidRPr="005967FA" w14:paraId="6E00B5DC" w14:textId="77777777" w:rsidTr="00CA6498">
        <w:tc>
          <w:tcPr>
            <w:tcW w:w="533" w:type="dxa"/>
            <w:shd w:val="clear" w:color="auto" w:fill="auto"/>
          </w:tcPr>
          <w:p w14:paraId="791A88E3" w14:textId="77777777" w:rsidR="00A44D93" w:rsidRPr="00CA6498" w:rsidRDefault="00416BB4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14:paraId="0A025272" w14:textId="77777777" w:rsidR="00A44D93" w:rsidRPr="00CA6498" w:rsidRDefault="00A44D93" w:rsidP="005967F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…</w:t>
            </w:r>
            <w:r w:rsidR="00416BB4" w:rsidRPr="00CA6498">
              <w:rPr>
                <w:sz w:val="22"/>
                <w:szCs w:val="22"/>
              </w:rPr>
              <w:t>%</w:t>
            </w:r>
          </w:p>
        </w:tc>
        <w:tc>
          <w:tcPr>
            <w:tcW w:w="2552" w:type="dxa"/>
            <w:shd w:val="clear" w:color="auto" w:fill="auto"/>
          </w:tcPr>
          <w:p w14:paraId="16219B23" w14:textId="77777777" w:rsidR="00A44D93" w:rsidRPr="00CA6498" w:rsidRDefault="00416BB4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Interim payment of Article 50</w:t>
            </w:r>
          </w:p>
        </w:tc>
        <w:tc>
          <w:tcPr>
            <w:tcW w:w="3890" w:type="dxa"/>
            <w:shd w:val="clear" w:color="auto" w:fill="auto"/>
          </w:tcPr>
          <w:p w14:paraId="22493847" w14:textId="77777777" w:rsidR="00A44D93" w:rsidRPr="00CA6498" w:rsidRDefault="00416BB4" w:rsidP="003C17E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 xml:space="preserve">After </w:t>
            </w:r>
            <w:r w:rsidR="007A05DD" w:rsidRPr="00CA6498">
              <w:rPr>
                <w:sz w:val="22"/>
                <w:szCs w:val="22"/>
              </w:rPr>
              <w:t xml:space="preserve">issuing of the </w:t>
            </w:r>
            <w:r w:rsidR="00B6292A">
              <w:rPr>
                <w:sz w:val="22"/>
                <w:szCs w:val="22"/>
              </w:rPr>
              <w:t>c</w:t>
            </w:r>
            <w:r w:rsidRPr="00CA6498">
              <w:rPr>
                <w:sz w:val="22"/>
                <w:szCs w:val="22"/>
              </w:rPr>
              <w:t>ertificate of provisional acceptance</w:t>
            </w:r>
          </w:p>
        </w:tc>
      </w:tr>
      <w:tr w:rsidR="00A44D93" w:rsidRPr="005967FA" w14:paraId="445A840E" w14:textId="77777777" w:rsidTr="00CA6498">
        <w:tc>
          <w:tcPr>
            <w:tcW w:w="533" w:type="dxa"/>
            <w:shd w:val="clear" w:color="auto" w:fill="auto"/>
          </w:tcPr>
          <w:p w14:paraId="2C4DB05C" w14:textId="77777777" w:rsidR="00A44D93" w:rsidRPr="00CA6498" w:rsidRDefault="000C5CFF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&lt;last&gt;</w:t>
            </w:r>
          </w:p>
        </w:tc>
        <w:tc>
          <w:tcPr>
            <w:tcW w:w="1276" w:type="dxa"/>
            <w:shd w:val="clear" w:color="auto" w:fill="auto"/>
          </w:tcPr>
          <w:p w14:paraId="3B738194" w14:textId="77777777" w:rsidR="00A44D93" w:rsidRPr="00CA6498" w:rsidRDefault="00416BB4" w:rsidP="005967F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10%</w:t>
            </w:r>
          </w:p>
        </w:tc>
        <w:tc>
          <w:tcPr>
            <w:tcW w:w="2552" w:type="dxa"/>
            <w:shd w:val="clear" w:color="auto" w:fill="auto"/>
          </w:tcPr>
          <w:p w14:paraId="593EE188" w14:textId="77777777" w:rsidR="00A44D93" w:rsidRPr="00CA6498" w:rsidRDefault="00416BB4" w:rsidP="005967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>Retention money of Article 47</w:t>
            </w:r>
          </w:p>
        </w:tc>
        <w:tc>
          <w:tcPr>
            <w:tcW w:w="3890" w:type="dxa"/>
            <w:shd w:val="clear" w:color="auto" w:fill="auto"/>
          </w:tcPr>
          <w:p w14:paraId="5C5F0548" w14:textId="77777777" w:rsidR="00A44D93" w:rsidRPr="00CA6498" w:rsidRDefault="00416BB4" w:rsidP="003C17E3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A6498">
              <w:rPr>
                <w:sz w:val="22"/>
                <w:szCs w:val="22"/>
              </w:rPr>
              <w:t xml:space="preserve">Within 45 days of the issuing of the signed </w:t>
            </w:r>
            <w:r w:rsidR="00B6292A">
              <w:rPr>
                <w:sz w:val="22"/>
                <w:szCs w:val="22"/>
              </w:rPr>
              <w:t>f</w:t>
            </w:r>
            <w:r w:rsidRPr="00CA6498">
              <w:rPr>
                <w:sz w:val="22"/>
                <w:szCs w:val="22"/>
              </w:rPr>
              <w:t>inal statement of account</w:t>
            </w:r>
          </w:p>
        </w:tc>
      </w:tr>
    </w:tbl>
    <w:p w14:paraId="5F88F250" w14:textId="77777777" w:rsidR="001050EE" w:rsidRPr="00116CA6" w:rsidRDefault="001050EE" w:rsidP="00116CA6">
      <w:pPr>
        <w:spacing w:before="240"/>
        <w:ind w:left="1276" w:hanging="1276"/>
        <w:jc w:val="both"/>
        <w:rPr>
          <w:b/>
          <w:szCs w:val="24"/>
        </w:rPr>
      </w:pPr>
      <w:bookmarkStart w:id="22" w:name="_Toc76894443"/>
      <w:r w:rsidRPr="00116CA6">
        <w:rPr>
          <w:b/>
          <w:szCs w:val="24"/>
        </w:rPr>
        <w:t>Article 50</w:t>
      </w:r>
      <w:r w:rsidRPr="00116CA6">
        <w:rPr>
          <w:b/>
          <w:szCs w:val="24"/>
        </w:rPr>
        <w:tab/>
        <w:t>Interim payments</w:t>
      </w:r>
      <w:bookmarkEnd w:id="22"/>
    </w:p>
    <w:p w14:paraId="23C4D01D" w14:textId="77777777" w:rsidR="00BA692F" w:rsidRPr="00CA6498" w:rsidRDefault="001050EE" w:rsidP="00BA692F">
      <w:pPr>
        <w:spacing w:before="120" w:after="120"/>
        <w:ind w:left="1276" w:hanging="709"/>
        <w:jc w:val="both"/>
        <w:rPr>
          <w:bCs/>
          <w:sz w:val="22"/>
          <w:szCs w:val="22"/>
        </w:rPr>
      </w:pPr>
      <w:r w:rsidRPr="00CA6498">
        <w:rPr>
          <w:bCs/>
          <w:sz w:val="22"/>
          <w:szCs w:val="22"/>
        </w:rPr>
        <w:t>50.</w:t>
      </w:r>
      <w:r w:rsidR="00BA692F" w:rsidRPr="00CA6498">
        <w:rPr>
          <w:bCs/>
          <w:sz w:val="22"/>
          <w:szCs w:val="22"/>
        </w:rPr>
        <w:t>7</w:t>
      </w:r>
      <w:r w:rsidRPr="00CA6498">
        <w:rPr>
          <w:sz w:val="22"/>
          <w:szCs w:val="22"/>
        </w:rPr>
        <w:tab/>
      </w:r>
      <w:r w:rsidR="00BA692F" w:rsidRPr="00CA6498">
        <w:rPr>
          <w:bCs/>
          <w:sz w:val="22"/>
          <w:szCs w:val="22"/>
        </w:rPr>
        <w:t xml:space="preserve">The interim payments will be paid as determined in Article 49.1 of these </w:t>
      </w:r>
      <w:r w:rsidR="00B6292A">
        <w:rPr>
          <w:bCs/>
          <w:sz w:val="22"/>
          <w:szCs w:val="22"/>
        </w:rPr>
        <w:t>s</w:t>
      </w:r>
      <w:r w:rsidR="00BA692F" w:rsidRPr="00CA6498">
        <w:rPr>
          <w:bCs/>
          <w:sz w:val="22"/>
          <w:szCs w:val="22"/>
        </w:rPr>
        <w:t xml:space="preserve">pecial </w:t>
      </w:r>
      <w:r w:rsidR="00B6292A">
        <w:rPr>
          <w:bCs/>
          <w:sz w:val="22"/>
          <w:szCs w:val="22"/>
        </w:rPr>
        <w:t>c</w:t>
      </w:r>
      <w:r w:rsidR="00BA692F" w:rsidRPr="00CA6498">
        <w:rPr>
          <w:bCs/>
          <w:sz w:val="22"/>
          <w:szCs w:val="22"/>
        </w:rPr>
        <w:t>onditions.</w:t>
      </w:r>
    </w:p>
    <w:p w14:paraId="0EE9850E" w14:textId="77777777" w:rsidR="001050EE" w:rsidRPr="00FF004E" w:rsidRDefault="001050EE" w:rsidP="00116CA6">
      <w:pPr>
        <w:spacing w:before="240"/>
        <w:ind w:left="1276" w:hanging="1276"/>
        <w:jc w:val="both"/>
        <w:rPr>
          <w:sz w:val="22"/>
          <w:szCs w:val="22"/>
        </w:rPr>
      </w:pPr>
      <w:bookmarkStart w:id="23" w:name="_Toc76894445"/>
      <w:r w:rsidRPr="00FF004E">
        <w:rPr>
          <w:sz w:val="22"/>
          <w:szCs w:val="22"/>
        </w:rPr>
        <w:t>Article 53</w:t>
      </w:r>
      <w:r w:rsidRPr="00FF004E">
        <w:rPr>
          <w:sz w:val="22"/>
          <w:szCs w:val="22"/>
        </w:rPr>
        <w:tab/>
        <w:t>Delayed payments</w:t>
      </w:r>
      <w:bookmarkEnd w:id="23"/>
    </w:p>
    <w:p w14:paraId="2FA21146" w14:textId="77777777" w:rsidR="00B25087" w:rsidRPr="00FF004E" w:rsidRDefault="001050EE" w:rsidP="00101855">
      <w:pPr>
        <w:autoSpaceDE w:val="0"/>
        <w:autoSpaceDN w:val="0"/>
        <w:adjustRightInd w:val="0"/>
        <w:spacing w:before="120" w:after="120"/>
        <w:ind w:left="1276" w:hanging="709"/>
        <w:jc w:val="both"/>
        <w:rPr>
          <w:sz w:val="22"/>
          <w:szCs w:val="22"/>
        </w:rPr>
      </w:pPr>
      <w:r w:rsidRPr="00FF004E">
        <w:rPr>
          <w:sz w:val="22"/>
          <w:szCs w:val="22"/>
        </w:rPr>
        <w:t>53.1</w:t>
      </w:r>
      <w:r w:rsidRPr="00FF004E">
        <w:rPr>
          <w:sz w:val="22"/>
          <w:szCs w:val="22"/>
        </w:rPr>
        <w:tab/>
        <w:t xml:space="preserve">By derogation from Article 53.1 of the </w:t>
      </w:r>
      <w:r w:rsidR="00B6292A" w:rsidRPr="00FF004E">
        <w:rPr>
          <w:sz w:val="22"/>
          <w:szCs w:val="22"/>
        </w:rPr>
        <w:t>g</w:t>
      </w:r>
      <w:r w:rsidRPr="00FF004E">
        <w:rPr>
          <w:sz w:val="22"/>
          <w:szCs w:val="22"/>
        </w:rPr>
        <w:t xml:space="preserve">eneral </w:t>
      </w:r>
      <w:r w:rsidR="00B6292A" w:rsidRPr="00FF004E">
        <w:rPr>
          <w:sz w:val="22"/>
          <w:szCs w:val="22"/>
        </w:rPr>
        <w:t>c</w:t>
      </w:r>
      <w:r w:rsidRPr="00FF004E">
        <w:rPr>
          <w:sz w:val="22"/>
          <w:szCs w:val="22"/>
        </w:rPr>
        <w:t>ondition</w:t>
      </w:r>
      <w:r w:rsidR="00BD2F7D" w:rsidRPr="00FF004E">
        <w:rPr>
          <w:sz w:val="22"/>
          <w:szCs w:val="22"/>
        </w:rPr>
        <w:t>s</w:t>
      </w:r>
      <w:r w:rsidRPr="00FF004E">
        <w:rPr>
          <w:sz w:val="22"/>
          <w:szCs w:val="22"/>
        </w:rPr>
        <w:t xml:space="preserve">, </w:t>
      </w:r>
      <w:r w:rsidR="000B16FC" w:rsidRPr="00FF004E">
        <w:rPr>
          <w:sz w:val="22"/>
          <w:szCs w:val="22"/>
        </w:rPr>
        <w:t xml:space="preserve">once the time-limit referred </w:t>
      </w:r>
      <w:r w:rsidRPr="00FF004E">
        <w:rPr>
          <w:sz w:val="22"/>
          <w:szCs w:val="22"/>
        </w:rPr>
        <w:t>Article</w:t>
      </w:r>
      <w:r w:rsidR="00101855" w:rsidRPr="00FF004E">
        <w:rPr>
          <w:sz w:val="22"/>
          <w:szCs w:val="22"/>
        </w:rPr>
        <w:t> </w:t>
      </w:r>
      <w:r w:rsidRPr="00FF004E">
        <w:rPr>
          <w:sz w:val="22"/>
          <w:szCs w:val="22"/>
        </w:rPr>
        <w:t xml:space="preserve">44.3 has expired, </w:t>
      </w:r>
      <w:r w:rsidR="00B25087" w:rsidRPr="00FF004E">
        <w:rPr>
          <w:sz w:val="22"/>
          <w:szCs w:val="22"/>
        </w:rPr>
        <w:t xml:space="preserve">the </w:t>
      </w:r>
      <w:r w:rsidR="00B6292A" w:rsidRPr="00FF004E">
        <w:rPr>
          <w:sz w:val="22"/>
          <w:szCs w:val="22"/>
        </w:rPr>
        <w:t>c</w:t>
      </w:r>
      <w:r w:rsidR="00B25087" w:rsidRPr="00FF004E">
        <w:rPr>
          <w:sz w:val="22"/>
          <w:szCs w:val="22"/>
        </w:rPr>
        <w:t xml:space="preserve">ontractor shall be entitled to late-payment interest at the rate and for the period mentioned in the </w:t>
      </w:r>
      <w:r w:rsidR="00B6292A" w:rsidRPr="00FF004E">
        <w:rPr>
          <w:sz w:val="22"/>
          <w:szCs w:val="22"/>
        </w:rPr>
        <w:t>g</w:t>
      </w:r>
      <w:r w:rsidR="00B25087" w:rsidRPr="00FF004E">
        <w:rPr>
          <w:sz w:val="22"/>
          <w:szCs w:val="22"/>
        </w:rPr>
        <w:t xml:space="preserve">eneral </w:t>
      </w:r>
      <w:r w:rsidR="00B6292A" w:rsidRPr="00FF004E">
        <w:rPr>
          <w:sz w:val="22"/>
          <w:szCs w:val="22"/>
        </w:rPr>
        <w:t>c</w:t>
      </w:r>
      <w:r w:rsidR="00B25087" w:rsidRPr="00FF004E">
        <w:rPr>
          <w:sz w:val="22"/>
          <w:szCs w:val="22"/>
        </w:rPr>
        <w:t>onditions.</w:t>
      </w:r>
      <w:r w:rsidRPr="00FF004E">
        <w:rPr>
          <w:sz w:val="22"/>
          <w:szCs w:val="22"/>
        </w:rPr>
        <w:t xml:space="preserve"> </w:t>
      </w:r>
      <w:r w:rsidR="00B25087" w:rsidRPr="00FF004E">
        <w:rPr>
          <w:sz w:val="22"/>
          <w:szCs w:val="22"/>
        </w:rPr>
        <w:t xml:space="preserve"> </w:t>
      </w:r>
    </w:p>
    <w:p w14:paraId="777D8431" w14:textId="77777777" w:rsidR="00B25087" w:rsidRPr="00FF004E" w:rsidRDefault="00B25087" w:rsidP="00F2670B">
      <w:pPr>
        <w:autoSpaceDE w:val="0"/>
        <w:autoSpaceDN w:val="0"/>
        <w:adjustRightInd w:val="0"/>
        <w:spacing w:before="120" w:after="120"/>
        <w:ind w:left="1276"/>
        <w:jc w:val="both"/>
        <w:rPr>
          <w:sz w:val="22"/>
          <w:szCs w:val="22"/>
        </w:rPr>
      </w:pPr>
      <w:r w:rsidRPr="00FF004E">
        <w:rPr>
          <w:sz w:val="22"/>
          <w:szCs w:val="22"/>
        </w:rPr>
        <w:t>However, when the interest calculated in accordance with the first subparagraph is lower than or equal to EUR 200, it shall be paid to the creditor only upon a demand submitted within two months of receiving late payment</w:t>
      </w:r>
      <w:r w:rsidR="005D4099">
        <w:rPr>
          <w:sz w:val="22"/>
          <w:szCs w:val="22"/>
        </w:rPr>
        <w:t>]</w:t>
      </w:r>
    </w:p>
    <w:p w14:paraId="25453CDF" w14:textId="77777777" w:rsidR="001050EE" w:rsidRPr="00116CA6" w:rsidRDefault="001050EE" w:rsidP="00CA6498">
      <w:pPr>
        <w:keepNext/>
        <w:spacing w:before="240"/>
        <w:ind w:left="1276" w:hanging="1276"/>
        <w:jc w:val="both"/>
        <w:rPr>
          <w:b/>
          <w:szCs w:val="24"/>
        </w:rPr>
      </w:pPr>
      <w:bookmarkStart w:id="24" w:name="_Toc76894448"/>
      <w:r w:rsidRPr="00116CA6">
        <w:rPr>
          <w:b/>
          <w:szCs w:val="24"/>
        </w:rPr>
        <w:t>Article 61</w:t>
      </w:r>
      <w:r w:rsidRPr="00116CA6">
        <w:rPr>
          <w:b/>
          <w:szCs w:val="24"/>
        </w:rPr>
        <w:tab/>
        <w:t>Defects liability</w:t>
      </w:r>
      <w:bookmarkEnd w:id="24"/>
    </w:p>
    <w:p w14:paraId="6C3CEE3B" w14:textId="77777777" w:rsidR="00401C44" w:rsidRPr="00851D16" w:rsidRDefault="009E24C9" w:rsidP="00851D16">
      <w:pPr>
        <w:spacing w:before="120" w:after="120"/>
        <w:ind w:left="1276" w:hanging="709"/>
        <w:jc w:val="both"/>
        <w:rPr>
          <w:sz w:val="22"/>
          <w:szCs w:val="22"/>
        </w:rPr>
      </w:pPr>
      <w:r w:rsidRPr="00851D16">
        <w:rPr>
          <w:sz w:val="22"/>
          <w:szCs w:val="22"/>
        </w:rPr>
        <w:t>61.1</w:t>
      </w:r>
      <w:r w:rsidRPr="00851D16">
        <w:rPr>
          <w:sz w:val="22"/>
          <w:szCs w:val="22"/>
        </w:rPr>
        <w:tab/>
      </w:r>
      <w:r w:rsidR="00401C44" w:rsidRPr="00851D16">
        <w:rPr>
          <w:sz w:val="22"/>
          <w:szCs w:val="22"/>
        </w:rPr>
        <w:t>T</w:t>
      </w:r>
      <w:r w:rsidRPr="00851D16">
        <w:rPr>
          <w:sz w:val="22"/>
          <w:szCs w:val="22"/>
        </w:rPr>
        <w:t xml:space="preserve">he defects liability period is defined as the period commencing on the date of provisional acceptance, during which the </w:t>
      </w:r>
      <w:r w:rsidR="00B6292A">
        <w:rPr>
          <w:sz w:val="22"/>
          <w:szCs w:val="22"/>
        </w:rPr>
        <w:t>c</w:t>
      </w:r>
      <w:r w:rsidRPr="00851D16">
        <w:rPr>
          <w:sz w:val="22"/>
          <w:szCs w:val="22"/>
        </w:rPr>
        <w:t xml:space="preserve">ontractor is required to make good any effect in, or damage to, any part of the work which may appear or occur during this period as notify by the </w:t>
      </w:r>
      <w:r w:rsidR="00B6292A">
        <w:rPr>
          <w:sz w:val="22"/>
          <w:szCs w:val="22"/>
        </w:rPr>
        <w:t>s</w:t>
      </w:r>
      <w:r w:rsidRPr="00851D16">
        <w:rPr>
          <w:sz w:val="22"/>
          <w:szCs w:val="22"/>
        </w:rPr>
        <w:t xml:space="preserve">upervisor or the </w:t>
      </w:r>
      <w:r w:rsidR="00B6292A">
        <w:rPr>
          <w:sz w:val="22"/>
          <w:szCs w:val="22"/>
        </w:rPr>
        <w:t>c</w:t>
      </w:r>
      <w:r w:rsidRPr="00851D16">
        <w:rPr>
          <w:sz w:val="22"/>
          <w:szCs w:val="22"/>
        </w:rPr>
        <w:t xml:space="preserve">ontracting </w:t>
      </w:r>
      <w:r w:rsidR="00B6292A">
        <w:rPr>
          <w:sz w:val="22"/>
          <w:szCs w:val="22"/>
        </w:rPr>
        <w:t>a</w:t>
      </w:r>
      <w:r w:rsidRPr="00851D16">
        <w:rPr>
          <w:sz w:val="22"/>
          <w:szCs w:val="22"/>
        </w:rPr>
        <w:t xml:space="preserve">uthority. The rights and obligations of the parties with regard to this defects liability period are laid down in Article 61 of the </w:t>
      </w:r>
      <w:r w:rsidR="00B6292A">
        <w:rPr>
          <w:sz w:val="22"/>
          <w:szCs w:val="22"/>
        </w:rPr>
        <w:t>g</w:t>
      </w:r>
      <w:r w:rsidRPr="00851D16">
        <w:rPr>
          <w:sz w:val="22"/>
          <w:szCs w:val="22"/>
        </w:rPr>
        <w:t xml:space="preserve">eneral </w:t>
      </w:r>
      <w:r w:rsidR="00B6292A">
        <w:rPr>
          <w:sz w:val="22"/>
          <w:szCs w:val="22"/>
        </w:rPr>
        <w:t>c</w:t>
      </w:r>
      <w:r w:rsidRPr="00851D16">
        <w:rPr>
          <w:sz w:val="22"/>
          <w:szCs w:val="22"/>
        </w:rPr>
        <w:t>onditions.</w:t>
      </w:r>
      <w:r w:rsidR="00401C44" w:rsidRPr="00851D16">
        <w:rPr>
          <w:sz w:val="22"/>
          <w:szCs w:val="22"/>
        </w:rPr>
        <w:t xml:space="preserve"> </w:t>
      </w:r>
    </w:p>
    <w:p w14:paraId="788C489D" w14:textId="7E1D4F1F" w:rsidR="001050EE" w:rsidRPr="00E51794" w:rsidRDefault="001050EE" w:rsidP="00E51794">
      <w:pPr>
        <w:keepNext/>
        <w:spacing w:before="240"/>
        <w:ind w:left="1276" w:hanging="1276"/>
        <w:jc w:val="both"/>
        <w:rPr>
          <w:b/>
          <w:szCs w:val="24"/>
        </w:rPr>
      </w:pPr>
      <w:bookmarkStart w:id="25" w:name="_Toc76894451"/>
      <w:r w:rsidRPr="00AE4803">
        <w:rPr>
          <w:b/>
          <w:szCs w:val="24"/>
          <w:lang w:val="fr-FR"/>
        </w:rPr>
        <w:t>Article 68</w:t>
      </w:r>
      <w:r w:rsidRPr="00AE4803">
        <w:rPr>
          <w:b/>
          <w:szCs w:val="24"/>
          <w:lang w:val="fr-FR"/>
        </w:rPr>
        <w:tab/>
      </w:r>
      <w:r w:rsidRPr="00E51794">
        <w:rPr>
          <w:b/>
          <w:szCs w:val="24"/>
        </w:rPr>
        <w:t>Dispute settlement</w:t>
      </w:r>
      <w:bookmarkEnd w:id="25"/>
    </w:p>
    <w:p w14:paraId="2E1F700E" w14:textId="0CA877C4" w:rsidR="00A5679D" w:rsidRPr="00E51794" w:rsidRDefault="001050EE" w:rsidP="00E51794">
      <w:pPr>
        <w:keepNext/>
        <w:spacing w:before="240"/>
        <w:ind w:left="1276" w:hanging="556"/>
        <w:jc w:val="both"/>
        <w:rPr>
          <w:sz w:val="22"/>
          <w:szCs w:val="22"/>
        </w:rPr>
      </w:pPr>
      <w:r w:rsidRPr="00E51794">
        <w:rPr>
          <w:sz w:val="22"/>
          <w:szCs w:val="22"/>
        </w:rPr>
        <w:t>68.</w:t>
      </w:r>
      <w:r w:rsidR="00A5679D" w:rsidRPr="00E51794">
        <w:rPr>
          <w:sz w:val="22"/>
          <w:szCs w:val="22"/>
        </w:rPr>
        <w:t xml:space="preserve">1 </w:t>
      </w:r>
      <w:r w:rsidR="00E51794" w:rsidRPr="00E51794">
        <w:rPr>
          <w:sz w:val="22"/>
          <w:szCs w:val="22"/>
        </w:rPr>
        <w:tab/>
      </w:r>
      <w:r w:rsidR="00A5679D" w:rsidRPr="00E51794">
        <w:rPr>
          <w:sz w:val="22"/>
          <w:szCs w:val="22"/>
        </w:rPr>
        <w:t>Any disputes arising out of or relating to this contract which cannot be settled otherwise</w:t>
      </w:r>
      <w:r w:rsidR="00E51794">
        <w:rPr>
          <w:sz w:val="22"/>
          <w:szCs w:val="22"/>
        </w:rPr>
        <w:t xml:space="preserve"> </w:t>
      </w:r>
      <w:r w:rsidR="00A5679D" w:rsidRPr="00E51794">
        <w:rPr>
          <w:sz w:val="22"/>
          <w:szCs w:val="22"/>
        </w:rPr>
        <w:t>shall be referred for arbitration in accordance with the rules of arbitration of the Ethiopian</w:t>
      </w:r>
      <w:r w:rsidR="00E51794">
        <w:rPr>
          <w:sz w:val="22"/>
          <w:szCs w:val="22"/>
        </w:rPr>
        <w:t xml:space="preserve"> </w:t>
      </w:r>
      <w:r w:rsidR="00A5679D" w:rsidRPr="00E51794">
        <w:rPr>
          <w:sz w:val="22"/>
          <w:szCs w:val="22"/>
        </w:rPr>
        <w:t>Law.</w:t>
      </w:r>
    </w:p>
    <w:p w14:paraId="0F162207" w14:textId="494950A4" w:rsidR="004321C9" w:rsidRPr="002D268B" w:rsidRDefault="004321C9" w:rsidP="002D268B">
      <w:pPr>
        <w:keepNext/>
        <w:spacing w:before="240"/>
        <w:ind w:left="1276" w:hanging="1276"/>
        <w:jc w:val="both"/>
        <w:rPr>
          <w:b/>
          <w:szCs w:val="24"/>
          <w:lang w:val="fr-FR"/>
        </w:rPr>
      </w:pPr>
      <w:r w:rsidRPr="002D268B">
        <w:rPr>
          <w:b/>
          <w:szCs w:val="24"/>
          <w:lang w:val="fr-FR"/>
        </w:rPr>
        <w:t>Article 72</w:t>
      </w:r>
      <w:r w:rsidRPr="002D268B">
        <w:rPr>
          <w:b/>
          <w:szCs w:val="24"/>
          <w:lang w:val="fr-FR"/>
        </w:rPr>
        <w:tab/>
        <w:t xml:space="preserve">Data </w:t>
      </w:r>
      <w:r w:rsidR="00B6292A" w:rsidRPr="002D268B">
        <w:rPr>
          <w:b/>
          <w:szCs w:val="24"/>
          <w:lang w:val="fr-FR"/>
        </w:rPr>
        <w:t>p</w:t>
      </w:r>
      <w:r w:rsidRPr="002D268B">
        <w:rPr>
          <w:b/>
          <w:szCs w:val="24"/>
          <w:lang w:val="fr-FR"/>
        </w:rPr>
        <w:t>rotection</w:t>
      </w:r>
    </w:p>
    <w:p w14:paraId="0B22A540" w14:textId="77777777" w:rsidR="002D268B" w:rsidRDefault="002D268B" w:rsidP="00A5679D">
      <w:pPr>
        <w:autoSpaceDE w:val="0"/>
        <w:autoSpaceDN w:val="0"/>
        <w:adjustRightInd w:val="0"/>
        <w:rPr>
          <w:sz w:val="22"/>
          <w:szCs w:val="22"/>
        </w:rPr>
      </w:pPr>
    </w:p>
    <w:p w14:paraId="1CA7740E" w14:textId="384A0806" w:rsidR="00A5679D" w:rsidRPr="00A5679D" w:rsidRDefault="00A5679D" w:rsidP="002D268B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A5679D">
        <w:rPr>
          <w:sz w:val="22"/>
          <w:szCs w:val="22"/>
        </w:rPr>
        <w:t>Processing of personal data related to the implementation of the contract by the contracting authority</w:t>
      </w:r>
      <w:r>
        <w:rPr>
          <w:sz w:val="22"/>
          <w:szCs w:val="22"/>
        </w:rPr>
        <w:t xml:space="preserve"> </w:t>
      </w:r>
      <w:r w:rsidRPr="00A5679D">
        <w:rPr>
          <w:sz w:val="22"/>
          <w:szCs w:val="22"/>
        </w:rPr>
        <w:t>takes place in accordance with the national legislation of Ethiopia</w:t>
      </w:r>
    </w:p>
    <w:sectPr w:rsidR="00A5679D" w:rsidRPr="00A5679D" w:rsidSect="00CA6498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298" w:right="1298" w:bottom="1077" w:left="1298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0A423" w14:textId="77777777" w:rsidR="0000641E" w:rsidRPr="00E725FE" w:rsidRDefault="0000641E">
      <w:r w:rsidRPr="00E725FE">
        <w:separator/>
      </w:r>
    </w:p>
  </w:endnote>
  <w:endnote w:type="continuationSeparator" w:id="0">
    <w:p w14:paraId="0626962F" w14:textId="77777777" w:rsidR="0000641E" w:rsidRPr="00E725FE" w:rsidRDefault="0000641E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AE35D" w14:textId="77777777" w:rsidR="00795633" w:rsidRDefault="0079563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C613922" w14:textId="77777777" w:rsidR="00795633" w:rsidRDefault="0079563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0D6F" w14:textId="75403003" w:rsidR="00795633" w:rsidRPr="00B3283E" w:rsidRDefault="00795633" w:rsidP="00B3283E">
    <w:pPr>
      <w:pStyle w:val="Pidipagina"/>
      <w:tabs>
        <w:tab w:val="clear" w:pos="4320"/>
        <w:tab w:val="clear" w:pos="8640"/>
        <w:tab w:val="right" w:pos="9214"/>
      </w:tabs>
      <w:ind w:right="5"/>
      <w:rPr>
        <w:rStyle w:val="Numeropagina"/>
        <w:sz w:val="18"/>
        <w:szCs w:val="18"/>
      </w:rPr>
    </w:pPr>
    <w:r w:rsidRPr="00B3283E">
      <w:rPr>
        <w:sz w:val="18"/>
        <w:szCs w:val="18"/>
      </w:rPr>
      <w:tab/>
      <w:t xml:space="preserve">Page </w:t>
    </w:r>
    <w:r w:rsidRPr="00B3283E">
      <w:rPr>
        <w:rStyle w:val="Numeropagina"/>
        <w:sz w:val="18"/>
        <w:szCs w:val="18"/>
      </w:rPr>
      <w:fldChar w:fldCharType="begin"/>
    </w:r>
    <w:r w:rsidRPr="00B3283E">
      <w:rPr>
        <w:rStyle w:val="Numeropagina"/>
        <w:sz w:val="18"/>
        <w:szCs w:val="18"/>
      </w:rPr>
      <w:instrText xml:space="preserve"> PAGE </w:instrText>
    </w:r>
    <w:r w:rsidRPr="00B3283E">
      <w:rPr>
        <w:rStyle w:val="Numeropagina"/>
        <w:sz w:val="18"/>
        <w:szCs w:val="18"/>
      </w:rPr>
      <w:fldChar w:fldCharType="separate"/>
    </w:r>
    <w:r w:rsidR="009F3025">
      <w:rPr>
        <w:rStyle w:val="Numeropagina"/>
        <w:noProof/>
        <w:sz w:val="18"/>
        <w:szCs w:val="18"/>
      </w:rPr>
      <w:t>4</w:t>
    </w:r>
    <w:r w:rsidRPr="00B3283E">
      <w:rPr>
        <w:rStyle w:val="Numeropagina"/>
        <w:sz w:val="18"/>
        <w:szCs w:val="18"/>
      </w:rPr>
      <w:fldChar w:fldCharType="end"/>
    </w:r>
    <w:r w:rsidRPr="00B3283E">
      <w:rPr>
        <w:rStyle w:val="Numeropagina"/>
        <w:sz w:val="18"/>
        <w:szCs w:val="18"/>
      </w:rPr>
      <w:t xml:space="preserve"> of </w:t>
    </w:r>
    <w:r w:rsidRPr="00B3283E">
      <w:rPr>
        <w:rStyle w:val="Numeropagina"/>
        <w:sz w:val="18"/>
        <w:szCs w:val="18"/>
      </w:rPr>
      <w:fldChar w:fldCharType="begin"/>
    </w:r>
    <w:r w:rsidRPr="00B3283E">
      <w:rPr>
        <w:rStyle w:val="Numeropagina"/>
        <w:sz w:val="18"/>
        <w:szCs w:val="18"/>
      </w:rPr>
      <w:instrText xml:space="preserve"> NUMPAGES </w:instrText>
    </w:r>
    <w:r w:rsidRPr="00B3283E">
      <w:rPr>
        <w:rStyle w:val="Numeropagina"/>
        <w:sz w:val="18"/>
        <w:szCs w:val="18"/>
      </w:rPr>
      <w:fldChar w:fldCharType="separate"/>
    </w:r>
    <w:r w:rsidR="009F3025">
      <w:rPr>
        <w:rStyle w:val="Numeropagina"/>
        <w:noProof/>
        <w:sz w:val="18"/>
        <w:szCs w:val="18"/>
      </w:rPr>
      <w:t>4</w:t>
    </w:r>
    <w:r w:rsidRPr="00B3283E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1A545" w14:textId="4BD24F9D" w:rsidR="00004B49" w:rsidRPr="009423FB" w:rsidRDefault="00AC5E4B" w:rsidP="00F2670B">
    <w:pPr>
      <w:pStyle w:val="Pidipagina"/>
      <w:tabs>
        <w:tab w:val="clear" w:pos="4320"/>
        <w:tab w:val="clear" w:pos="8640"/>
        <w:tab w:val="right" w:pos="8931"/>
      </w:tabs>
      <w:ind w:right="6"/>
      <w:rPr>
        <w:rStyle w:val="Numeropagina"/>
        <w:sz w:val="18"/>
        <w:szCs w:val="18"/>
      </w:rPr>
    </w:pPr>
    <w:r>
      <w:rPr>
        <w:b/>
        <w:sz w:val="18"/>
        <w:szCs w:val="18"/>
      </w:rPr>
      <w:t>2015</w:t>
    </w:r>
    <w:r w:rsidR="00004B49" w:rsidRPr="009423FB">
      <w:rPr>
        <w:sz w:val="18"/>
        <w:szCs w:val="18"/>
      </w:rPr>
      <w:tab/>
    </w:r>
    <w:r w:rsidR="00004B49" w:rsidRPr="009423FB">
      <w:rPr>
        <w:rStyle w:val="Numeropagina"/>
        <w:sz w:val="18"/>
        <w:szCs w:val="18"/>
      </w:rPr>
      <w:t xml:space="preserve">Page </w:t>
    </w:r>
    <w:r w:rsidR="00004B49" w:rsidRPr="009423FB">
      <w:rPr>
        <w:rStyle w:val="Numeropagina"/>
        <w:sz w:val="18"/>
        <w:szCs w:val="18"/>
      </w:rPr>
      <w:fldChar w:fldCharType="begin"/>
    </w:r>
    <w:r w:rsidR="00004B49" w:rsidRPr="009423FB">
      <w:rPr>
        <w:rStyle w:val="Numeropagina"/>
        <w:sz w:val="18"/>
        <w:szCs w:val="18"/>
      </w:rPr>
      <w:instrText xml:space="preserve"> PAGE </w:instrText>
    </w:r>
    <w:r w:rsidR="00004B49" w:rsidRPr="009423FB">
      <w:rPr>
        <w:rStyle w:val="Numeropagina"/>
        <w:sz w:val="18"/>
        <w:szCs w:val="18"/>
      </w:rPr>
      <w:fldChar w:fldCharType="separate"/>
    </w:r>
    <w:r w:rsidR="00CA6498">
      <w:rPr>
        <w:rStyle w:val="Numeropagina"/>
        <w:noProof/>
        <w:sz w:val="18"/>
        <w:szCs w:val="18"/>
      </w:rPr>
      <w:t>1</w:t>
    </w:r>
    <w:r w:rsidR="00004B49" w:rsidRPr="009423FB">
      <w:rPr>
        <w:rStyle w:val="Numeropagina"/>
        <w:sz w:val="18"/>
        <w:szCs w:val="18"/>
      </w:rPr>
      <w:fldChar w:fldCharType="end"/>
    </w:r>
    <w:r w:rsidR="00004B49" w:rsidRPr="009423FB">
      <w:rPr>
        <w:rStyle w:val="Numeropagina"/>
        <w:sz w:val="18"/>
        <w:szCs w:val="18"/>
      </w:rPr>
      <w:t xml:space="preserve"> of </w:t>
    </w:r>
    <w:r w:rsidR="00004B49" w:rsidRPr="009423FB">
      <w:rPr>
        <w:rStyle w:val="Numeropagina"/>
        <w:sz w:val="18"/>
        <w:szCs w:val="18"/>
      </w:rPr>
      <w:fldChar w:fldCharType="begin"/>
    </w:r>
    <w:r w:rsidR="00004B49" w:rsidRPr="009423FB">
      <w:rPr>
        <w:rStyle w:val="Numeropagina"/>
        <w:sz w:val="18"/>
        <w:szCs w:val="18"/>
      </w:rPr>
      <w:instrText xml:space="preserve"> NUMPAGES </w:instrText>
    </w:r>
    <w:r w:rsidR="00004B49" w:rsidRPr="009423FB">
      <w:rPr>
        <w:rStyle w:val="Numeropagina"/>
        <w:sz w:val="18"/>
        <w:szCs w:val="18"/>
      </w:rPr>
      <w:fldChar w:fldCharType="separate"/>
    </w:r>
    <w:r w:rsidR="009F3025">
      <w:rPr>
        <w:rStyle w:val="Numeropagina"/>
        <w:noProof/>
        <w:sz w:val="18"/>
        <w:szCs w:val="18"/>
      </w:rPr>
      <w:t>4</w:t>
    </w:r>
    <w:r w:rsidR="00004B49" w:rsidRPr="009423FB">
      <w:rPr>
        <w:rStyle w:val="Numeropagina"/>
        <w:sz w:val="18"/>
        <w:szCs w:val="18"/>
      </w:rPr>
      <w:fldChar w:fldCharType="end"/>
    </w:r>
  </w:p>
  <w:p w14:paraId="24FE0343" w14:textId="1C9C5897" w:rsidR="00795633" w:rsidRPr="00004B49" w:rsidRDefault="00004B49" w:rsidP="00004B49">
    <w:pPr>
      <w:rPr>
        <w:sz w:val="18"/>
        <w:szCs w:val="18"/>
      </w:rPr>
    </w:pPr>
    <w:r w:rsidRPr="009423FB">
      <w:rPr>
        <w:sz w:val="18"/>
        <w:szCs w:val="18"/>
      </w:rPr>
      <w:fldChar w:fldCharType="begin"/>
    </w:r>
    <w:r w:rsidRPr="009423FB">
      <w:rPr>
        <w:sz w:val="18"/>
        <w:szCs w:val="18"/>
      </w:rPr>
      <w:instrText xml:space="preserve"> FILENAME </w:instrText>
    </w:r>
    <w:r w:rsidRPr="009423FB">
      <w:rPr>
        <w:sz w:val="18"/>
        <w:szCs w:val="18"/>
      </w:rPr>
      <w:fldChar w:fldCharType="separate"/>
    </w:r>
    <w:r w:rsidR="009F3025">
      <w:rPr>
        <w:noProof/>
        <w:sz w:val="18"/>
        <w:szCs w:val="18"/>
      </w:rPr>
      <w:t>ANNEX X. CONTRACT SPECIAL CONDITION ANNEX X</w:t>
    </w:r>
    <w:r w:rsidRPr="009423F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43CAB" w14:textId="77777777" w:rsidR="0000641E" w:rsidRPr="00E725FE" w:rsidRDefault="0000641E">
      <w:r w:rsidRPr="00E725FE">
        <w:separator/>
      </w:r>
    </w:p>
  </w:footnote>
  <w:footnote w:type="continuationSeparator" w:id="0">
    <w:p w14:paraId="1A160367" w14:textId="77777777" w:rsidR="0000641E" w:rsidRPr="00E725FE" w:rsidRDefault="0000641E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8267C" w14:textId="77777777" w:rsidR="00795633" w:rsidRDefault="00795633" w:rsidP="0058294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A649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4D9486C" w14:textId="77777777" w:rsidR="00795633" w:rsidRDefault="00795633" w:rsidP="00582940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" w15:restartNumberingAfterBreak="0">
    <w:nsid w:val="1DB73598"/>
    <w:multiLevelType w:val="hybridMultilevel"/>
    <w:tmpl w:val="8070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57951"/>
    <w:multiLevelType w:val="hybridMultilevel"/>
    <w:tmpl w:val="167855CA"/>
    <w:lvl w:ilvl="0" w:tplc="3E244A10">
      <w:start w:val="1"/>
      <w:numFmt w:val="lowerLetter"/>
      <w:lvlText w:val="(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3F6515F"/>
    <w:multiLevelType w:val="multilevel"/>
    <w:tmpl w:val="94261FC0"/>
    <w:lvl w:ilvl="0">
      <w:start w:val="1"/>
      <w:numFmt w:val="decimal"/>
      <w:pStyle w:val="Article"/>
      <w:lvlText w:val="Article %1 - "/>
      <w:lvlJc w:val="left"/>
      <w:pPr>
        <w:tabs>
          <w:tab w:val="num" w:pos="0"/>
        </w:tabs>
        <w:ind w:left="1021" w:hanging="1021"/>
      </w:pPr>
      <w:rPr>
        <w:rFonts w:ascii="Times New Roman Bold" w:hAnsi="Times New Roman Bold"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article"/>
      <w:lvlText w:val="%1.%2."/>
      <w:lvlJc w:val="left"/>
      <w:pPr>
        <w:tabs>
          <w:tab w:val="num" w:pos="567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%3.%2."/>
      <w:lvlJc w:val="left"/>
      <w:pPr>
        <w:tabs>
          <w:tab w:val="num" w:pos="567"/>
        </w:tabs>
        <w:ind w:left="1134" w:hanging="56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DEF7159"/>
    <w:multiLevelType w:val="hybridMultilevel"/>
    <w:tmpl w:val="54720A54"/>
    <w:lvl w:ilvl="0" w:tplc="B0D2D488">
      <w:start w:val="2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77FEA"/>
    <w:multiLevelType w:val="hybridMultilevel"/>
    <w:tmpl w:val="182CC388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Titolo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8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9" w15:restartNumberingAfterBreak="0">
    <w:nsid w:val="48FA728C"/>
    <w:multiLevelType w:val="hybridMultilevel"/>
    <w:tmpl w:val="7B6C56CA"/>
    <w:lvl w:ilvl="0" w:tplc="E06E9EA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3652C5"/>
    <w:multiLevelType w:val="hybridMultilevel"/>
    <w:tmpl w:val="3726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2601E"/>
    <w:multiLevelType w:val="hybridMultilevel"/>
    <w:tmpl w:val="182CC388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746D4AE9"/>
    <w:multiLevelType w:val="multilevel"/>
    <w:tmpl w:val="5450EB32"/>
    <w:lvl w:ilvl="0">
      <w:start w:val="1"/>
      <w:numFmt w:val="upperLetter"/>
      <w:pStyle w:val="Titolo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1D7248"/>
    <w:multiLevelType w:val="hybridMultilevel"/>
    <w:tmpl w:val="F15C07BC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41196"/>
    <w:multiLevelType w:val="hybridMultilevel"/>
    <w:tmpl w:val="EC868E40"/>
    <w:lvl w:ilvl="0" w:tplc="6EECED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12"/>
  </w:num>
  <w:num w:numId="11">
    <w:abstractNumId w:val="11"/>
  </w:num>
  <w:num w:numId="12">
    <w:abstractNumId w:val="4"/>
  </w:num>
  <w:num w:numId="13">
    <w:abstractNumId w:val="2"/>
  </w:num>
  <w:num w:numId="14">
    <w:abstractNumId w:val="15"/>
  </w:num>
  <w:num w:numId="15">
    <w:abstractNumId w:val="14"/>
  </w:num>
  <w:num w:numId="1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I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4B49"/>
    <w:rsid w:val="0000641E"/>
    <w:rsid w:val="00006DF8"/>
    <w:rsid w:val="0001376A"/>
    <w:rsid w:val="00016716"/>
    <w:rsid w:val="00020A5B"/>
    <w:rsid w:val="00021EB3"/>
    <w:rsid w:val="00030A2D"/>
    <w:rsid w:val="00031E63"/>
    <w:rsid w:val="0003690E"/>
    <w:rsid w:val="000371F1"/>
    <w:rsid w:val="0004235A"/>
    <w:rsid w:val="000435A0"/>
    <w:rsid w:val="0005004B"/>
    <w:rsid w:val="00052A25"/>
    <w:rsid w:val="00052A9F"/>
    <w:rsid w:val="000534BE"/>
    <w:rsid w:val="00055A26"/>
    <w:rsid w:val="00056E8E"/>
    <w:rsid w:val="00057B00"/>
    <w:rsid w:val="00060C1E"/>
    <w:rsid w:val="00065189"/>
    <w:rsid w:val="000804AD"/>
    <w:rsid w:val="000813E1"/>
    <w:rsid w:val="00091417"/>
    <w:rsid w:val="000A06F9"/>
    <w:rsid w:val="000A6A0E"/>
    <w:rsid w:val="000A744B"/>
    <w:rsid w:val="000B16FC"/>
    <w:rsid w:val="000B190D"/>
    <w:rsid w:val="000C0C20"/>
    <w:rsid w:val="000C26EA"/>
    <w:rsid w:val="000C549B"/>
    <w:rsid w:val="000C5619"/>
    <w:rsid w:val="000C5CFF"/>
    <w:rsid w:val="000C6752"/>
    <w:rsid w:val="000C7952"/>
    <w:rsid w:val="000D13E7"/>
    <w:rsid w:val="000D7C74"/>
    <w:rsid w:val="000E0648"/>
    <w:rsid w:val="000E537A"/>
    <w:rsid w:val="000F39C3"/>
    <w:rsid w:val="00101855"/>
    <w:rsid w:val="001050EE"/>
    <w:rsid w:val="00107540"/>
    <w:rsid w:val="00111B7A"/>
    <w:rsid w:val="00114873"/>
    <w:rsid w:val="00114F35"/>
    <w:rsid w:val="00115C27"/>
    <w:rsid w:val="00116CA6"/>
    <w:rsid w:val="0011710F"/>
    <w:rsid w:val="0012355E"/>
    <w:rsid w:val="00127C86"/>
    <w:rsid w:val="001466DD"/>
    <w:rsid w:val="001557A3"/>
    <w:rsid w:val="0016526B"/>
    <w:rsid w:val="00165A9F"/>
    <w:rsid w:val="0017313B"/>
    <w:rsid w:val="00173310"/>
    <w:rsid w:val="00185842"/>
    <w:rsid w:val="00192C51"/>
    <w:rsid w:val="001961E3"/>
    <w:rsid w:val="00196F72"/>
    <w:rsid w:val="001978EF"/>
    <w:rsid w:val="001A1519"/>
    <w:rsid w:val="001A4E4A"/>
    <w:rsid w:val="001A72CD"/>
    <w:rsid w:val="001B31E6"/>
    <w:rsid w:val="001C1D2A"/>
    <w:rsid w:val="001C36AC"/>
    <w:rsid w:val="001E440F"/>
    <w:rsid w:val="001F319E"/>
    <w:rsid w:val="001F48E9"/>
    <w:rsid w:val="001F5A95"/>
    <w:rsid w:val="001F61FC"/>
    <w:rsid w:val="001F659D"/>
    <w:rsid w:val="00203C42"/>
    <w:rsid w:val="00203E27"/>
    <w:rsid w:val="00205125"/>
    <w:rsid w:val="00205F35"/>
    <w:rsid w:val="002079A9"/>
    <w:rsid w:val="00212360"/>
    <w:rsid w:val="00212E05"/>
    <w:rsid w:val="0021368F"/>
    <w:rsid w:val="00215793"/>
    <w:rsid w:val="00215FF5"/>
    <w:rsid w:val="00216A9C"/>
    <w:rsid w:val="002172D1"/>
    <w:rsid w:val="002223C1"/>
    <w:rsid w:val="00236039"/>
    <w:rsid w:val="00242EDB"/>
    <w:rsid w:val="0024466C"/>
    <w:rsid w:val="002475C4"/>
    <w:rsid w:val="00247FEF"/>
    <w:rsid w:val="00252888"/>
    <w:rsid w:val="00253B57"/>
    <w:rsid w:val="00256EE1"/>
    <w:rsid w:val="00270B92"/>
    <w:rsid w:val="00271353"/>
    <w:rsid w:val="00286A23"/>
    <w:rsid w:val="00294FAC"/>
    <w:rsid w:val="00295092"/>
    <w:rsid w:val="002B13F4"/>
    <w:rsid w:val="002B7A05"/>
    <w:rsid w:val="002C4845"/>
    <w:rsid w:val="002D0A12"/>
    <w:rsid w:val="002D0B03"/>
    <w:rsid w:val="002D268B"/>
    <w:rsid w:val="002D294D"/>
    <w:rsid w:val="002D2BD5"/>
    <w:rsid w:val="002D7495"/>
    <w:rsid w:val="002D75A2"/>
    <w:rsid w:val="002E58FA"/>
    <w:rsid w:val="002F6D2E"/>
    <w:rsid w:val="003001D9"/>
    <w:rsid w:val="00301DE9"/>
    <w:rsid w:val="00305FF9"/>
    <w:rsid w:val="003072B8"/>
    <w:rsid w:val="003111D9"/>
    <w:rsid w:val="00311D2D"/>
    <w:rsid w:val="0032223B"/>
    <w:rsid w:val="003308BB"/>
    <w:rsid w:val="0033332D"/>
    <w:rsid w:val="00340C6C"/>
    <w:rsid w:val="00346E32"/>
    <w:rsid w:val="003521FE"/>
    <w:rsid w:val="00356B1D"/>
    <w:rsid w:val="00361B54"/>
    <w:rsid w:val="00362638"/>
    <w:rsid w:val="00363B97"/>
    <w:rsid w:val="0036592E"/>
    <w:rsid w:val="003721D9"/>
    <w:rsid w:val="00374870"/>
    <w:rsid w:val="00382FE0"/>
    <w:rsid w:val="00384ED2"/>
    <w:rsid w:val="00392541"/>
    <w:rsid w:val="00394BBB"/>
    <w:rsid w:val="003A2536"/>
    <w:rsid w:val="003A358D"/>
    <w:rsid w:val="003A69FF"/>
    <w:rsid w:val="003A77FA"/>
    <w:rsid w:val="003B6B13"/>
    <w:rsid w:val="003C07AB"/>
    <w:rsid w:val="003C1679"/>
    <w:rsid w:val="003C17E3"/>
    <w:rsid w:val="003C2000"/>
    <w:rsid w:val="003C60D0"/>
    <w:rsid w:val="003C7183"/>
    <w:rsid w:val="003D2B40"/>
    <w:rsid w:val="003D3100"/>
    <w:rsid w:val="003D436F"/>
    <w:rsid w:val="003D764D"/>
    <w:rsid w:val="003D795D"/>
    <w:rsid w:val="003E4E57"/>
    <w:rsid w:val="003E596D"/>
    <w:rsid w:val="003F005A"/>
    <w:rsid w:val="00401C44"/>
    <w:rsid w:val="00403C36"/>
    <w:rsid w:val="00406967"/>
    <w:rsid w:val="00407129"/>
    <w:rsid w:val="00407C73"/>
    <w:rsid w:val="004112D4"/>
    <w:rsid w:val="00412B82"/>
    <w:rsid w:val="00414B1C"/>
    <w:rsid w:val="00416BB4"/>
    <w:rsid w:val="0042065C"/>
    <w:rsid w:val="004305FD"/>
    <w:rsid w:val="004321C9"/>
    <w:rsid w:val="00433C36"/>
    <w:rsid w:val="004350B6"/>
    <w:rsid w:val="00441407"/>
    <w:rsid w:val="00443948"/>
    <w:rsid w:val="00444CC8"/>
    <w:rsid w:val="0044751C"/>
    <w:rsid w:val="004514CD"/>
    <w:rsid w:val="004543B0"/>
    <w:rsid w:val="00456C52"/>
    <w:rsid w:val="00462214"/>
    <w:rsid w:val="004626CD"/>
    <w:rsid w:val="00465174"/>
    <w:rsid w:val="004670EF"/>
    <w:rsid w:val="004715EC"/>
    <w:rsid w:val="00473676"/>
    <w:rsid w:val="004750B6"/>
    <w:rsid w:val="00477F67"/>
    <w:rsid w:val="004805F2"/>
    <w:rsid w:val="00480E3B"/>
    <w:rsid w:val="004842DD"/>
    <w:rsid w:val="00485048"/>
    <w:rsid w:val="0048680A"/>
    <w:rsid w:val="0049139F"/>
    <w:rsid w:val="00494A0D"/>
    <w:rsid w:val="004A2BDD"/>
    <w:rsid w:val="004B33AB"/>
    <w:rsid w:val="004C0B83"/>
    <w:rsid w:val="004C192E"/>
    <w:rsid w:val="004C6937"/>
    <w:rsid w:val="004D61E0"/>
    <w:rsid w:val="004D6FB2"/>
    <w:rsid w:val="004E0E24"/>
    <w:rsid w:val="004E52DB"/>
    <w:rsid w:val="004F3026"/>
    <w:rsid w:val="004F5CBC"/>
    <w:rsid w:val="004F7629"/>
    <w:rsid w:val="00501651"/>
    <w:rsid w:val="0051365E"/>
    <w:rsid w:val="00515888"/>
    <w:rsid w:val="00515D51"/>
    <w:rsid w:val="005271DB"/>
    <w:rsid w:val="00527F31"/>
    <w:rsid w:val="00531D81"/>
    <w:rsid w:val="005346CE"/>
    <w:rsid w:val="00535F34"/>
    <w:rsid w:val="005411B0"/>
    <w:rsid w:val="0054331D"/>
    <w:rsid w:val="00543710"/>
    <w:rsid w:val="00544044"/>
    <w:rsid w:val="005445DB"/>
    <w:rsid w:val="00546410"/>
    <w:rsid w:val="005478E4"/>
    <w:rsid w:val="005522DF"/>
    <w:rsid w:val="00553F9E"/>
    <w:rsid w:val="005570BC"/>
    <w:rsid w:val="00561F04"/>
    <w:rsid w:val="005625FF"/>
    <w:rsid w:val="005637E1"/>
    <w:rsid w:val="00567851"/>
    <w:rsid w:val="005678C2"/>
    <w:rsid w:val="0057272D"/>
    <w:rsid w:val="0057733F"/>
    <w:rsid w:val="0057760F"/>
    <w:rsid w:val="005803EF"/>
    <w:rsid w:val="0058254C"/>
    <w:rsid w:val="00582940"/>
    <w:rsid w:val="0058307D"/>
    <w:rsid w:val="00583671"/>
    <w:rsid w:val="00586A41"/>
    <w:rsid w:val="00587F31"/>
    <w:rsid w:val="00587FF6"/>
    <w:rsid w:val="00591722"/>
    <w:rsid w:val="0059510B"/>
    <w:rsid w:val="005967FA"/>
    <w:rsid w:val="00596E41"/>
    <w:rsid w:val="005A2150"/>
    <w:rsid w:val="005A3B22"/>
    <w:rsid w:val="005B0B44"/>
    <w:rsid w:val="005B4F79"/>
    <w:rsid w:val="005B5F79"/>
    <w:rsid w:val="005C742C"/>
    <w:rsid w:val="005D4099"/>
    <w:rsid w:val="005D499E"/>
    <w:rsid w:val="005D5879"/>
    <w:rsid w:val="005E2012"/>
    <w:rsid w:val="005E22D4"/>
    <w:rsid w:val="005E2764"/>
    <w:rsid w:val="005E355B"/>
    <w:rsid w:val="005E44FF"/>
    <w:rsid w:val="005F28A0"/>
    <w:rsid w:val="00607379"/>
    <w:rsid w:val="00612248"/>
    <w:rsid w:val="00615BB7"/>
    <w:rsid w:val="006218C2"/>
    <w:rsid w:val="00622351"/>
    <w:rsid w:val="00622857"/>
    <w:rsid w:val="00624333"/>
    <w:rsid w:val="006250B5"/>
    <w:rsid w:val="006316A2"/>
    <w:rsid w:val="0063320F"/>
    <w:rsid w:val="00641155"/>
    <w:rsid w:val="006517D2"/>
    <w:rsid w:val="006518F0"/>
    <w:rsid w:val="00652659"/>
    <w:rsid w:val="00653A7B"/>
    <w:rsid w:val="006610EB"/>
    <w:rsid w:val="0066228C"/>
    <w:rsid w:val="00664730"/>
    <w:rsid w:val="00664973"/>
    <w:rsid w:val="00665AD5"/>
    <w:rsid w:val="00670009"/>
    <w:rsid w:val="00673D8C"/>
    <w:rsid w:val="00674750"/>
    <w:rsid w:val="00675D7D"/>
    <w:rsid w:val="0068098D"/>
    <w:rsid w:val="0068234B"/>
    <w:rsid w:val="006872CB"/>
    <w:rsid w:val="00690585"/>
    <w:rsid w:val="00690A0E"/>
    <w:rsid w:val="00691E97"/>
    <w:rsid w:val="006934C9"/>
    <w:rsid w:val="006937A4"/>
    <w:rsid w:val="006A4779"/>
    <w:rsid w:val="006A75D6"/>
    <w:rsid w:val="006B1B4E"/>
    <w:rsid w:val="006B60CC"/>
    <w:rsid w:val="006B70A7"/>
    <w:rsid w:val="006C113F"/>
    <w:rsid w:val="006C3F3C"/>
    <w:rsid w:val="006C4752"/>
    <w:rsid w:val="006D36DD"/>
    <w:rsid w:val="006D7273"/>
    <w:rsid w:val="006D7D6D"/>
    <w:rsid w:val="006E5990"/>
    <w:rsid w:val="006E6032"/>
    <w:rsid w:val="006F17D2"/>
    <w:rsid w:val="006F1994"/>
    <w:rsid w:val="006F1A1B"/>
    <w:rsid w:val="006F60DB"/>
    <w:rsid w:val="006F6CDD"/>
    <w:rsid w:val="006F79B1"/>
    <w:rsid w:val="00701114"/>
    <w:rsid w:val="00707EB9"/>
    <w:rsid w:val="00711F0C"/>
    <w:rsid w:val="00714838"/>
    <w:rsid w:val="007172B0"/>
    <w:rsid w:val="00725F2A"/>
    <w:rsid w:val="00726303"/>
    <w:rsid w:val="007300FC"/>
    <w:rsid w:val="00736F79"/>
    <w:rsid w:val="00740350"/>
    <w:rsid w:val="00741C18"/>
    <w:rsid w:val="00742A44"/>
    <w:rsid w:val="00744830"/>
    <w:rsid w:val="00745CC9"/>
    <w:rsid w:val="0074647C"/>
    <w:rsid w:val="007466E1"/>
    <w:rsid w:val="00746BFC"/>
    <w:rsid w:val="007476BA"/>
    <w:rsid w:val="00750718"/>
    <w:rsid w:val="00754C31"/>
    <w:rsid w:val="00761068"/>
    <w:rsid w:val="007731CA"/>
    <w:rsid w:val="0077476F"/>
    <w:rsid w:val="00780E05"/>
    <w:rsid w:val="00781A3D"/>
    <w:rsid w:val="00785513"/>
    <w:rsid w:val="0078718E"/>
    <w:rsid w:val="00790496"/>
    <w:rsid w:val="007953B7"/>
    <w:rsid w:val="00795633"/>
    <w:rsid w:val="007963FC"/>
    <w:rsid w:val="00796834"/>
    <w:rsid w:val="007A04CD"/>
    <w:rsid w:val="007A05DD"/>
    <w:rsid w:val="007A1685"/>
    <w:rsid w:val="007A16ED"/>
    <w:rsid w:val="007A3985"/>
    <w:rsid w:val="007A418C"/>
    <w:rsid w:val="007A5020"/>
    <w:rsid w:val="007B00C5"/>
    <w:rsid w:val="007C1642"/>
    <w:rsid w:val="007D5114"/>
    <w:rsid w:val="007D6CD0"/>
    <w:rsid w:val="007D732B"/>
    <w:rsid w:val="007E33CF"/>
    <w:rsid w:val="007E34D8"/>
    <w:rsid w:val="007E7F01"/>
    <w:rsid w:val="007F037F"/>
    <w:rsid w:val="007F1907"/>
    <w:rsid w:val="007F43CF"/>
    <w:rsid w:val="00801551"/>
    <w:rsid w:val="008020E7"/>
    <w:rsid w:val="0080253E"/>
    <w:rsid w:val="008029EA"/>
    <w:rsid w:val="00806AB3"/>
    <w:rsid w:val="00806DEA"/>
    <w:rsid w:val="00807F07"/>
    <w:rsid w:val="0081151F"/>
    <w:rsid w:val="00811C13"/>
    <w:rsid w:val="008123C4"/>
    <w:rsid w:val="00817365"/>
    <w:rsid w:val="008206C3"/>
    <w:rsid w:val="00821569"/>
    <w:rsid w:val="00822BE8"/>
    <w:rsid w:val="00825FF4"/>
    <w:rsid w:val="00830A6F"/>
    <w:rsid w:val="00832B21"/>
    <w:rsid w:val="008338B0"/>
    <w:rsid w:val="00851D16"/>
    <w:rsid w:val="00852024"/>
    <w:rsid w:val="0085750B"/>
    <w:rsid w:val="00857577"/>
    <w:rsid w:val="0085796F"/>
    <w:rsid w:val="008644CF"/>
    <w:rsid w:val="00865463"/>
    <w:rsid w:val="00866754"/>
    <w:rsid w:val="0086700B"/>
    <w:rsid w:val="008674B2"/>
    <w:rsid w:val="0087152F"/>
    <w:rsid w:val="00872A2E"/>
    <w:rsid w:val="008733EA"/>
    <w:rsid w:val="00880541"/>
    <w:rsid w:val="008824C1"/>
    <w:rsid w:val="0089009D"/>
    <w:rsid w:val="008A24D8"/>
    <w:rsid w:val="008A27FD"/>
    <w:rsid w:val="008A3E96"/>
    <w:rsid w:val="008B2A73"/>
    <w:rsid w:val="008B3EEE"/>
    <w:rsid w:val="008B623E"/>
    <w:rsid w:val="008B7FF3"/>
    <w:rsid w:val="008C3721"/>
    <w:rsid w:val="008C4EA4"/>
    <w:rsid w:val="008E128B"/>
    <w:rsid w:val="008E4B88"/>
    <w:rsid w:val="008E71FD"/>
    <w:rsid w:val="008E7B76"/>
    <w:rsid w:val="008F0486"/>
    <w:rsid w:val="008F168A"/>
    <w:rsid w:val="008F251C"/>
    <w:rsid w:val="008F4E9F"/>
    <w:rsid w:val="008F5DE9"/>
    <w:rsid w:val="00900FEB"/>
    <w:rsid w:val="00902E86"/>
    <w:rsid w:val="00903900"/>
    <w:rsid w:val="00910313"/>
    <w:rsid w:val="00911810"/>
    <w:rsid w:val="009147A6"/>
    <w:rsid w:val="00915404"/>
    <w:rsid w:val="009154A6"/>
    <w:rsid w:val="009159C2"/>
    <w:rsid w:val="00915BDF"/>
    <w:rsid w:val="009170D9"/>
    <w:rsid w:val="0092466D"/>
    <w:rsid w:val="009249CD"/>
    <w:rsid w:val="00925D95"/>
    <w:rsid w:val="00931C68"/>
    <w:rsid w:val="0094402E"/>
    <w:rsid w:val="009455FD"/>
    <w:rsid w:val="009463ED"/>
    <w:rsid w:val="0094728C"/>
    <w:rsid w:val="00951748"/>
    <w:rsid w:val="00956905"/>
    <w:rsid w:val="00960CF6"/>
    <w:rsid w:val="009639E9"/>
    <w:rsid w:val="00966028"/>
    <w:rsid w:val="009706F3"/>
    <w:rsid w:val="00974535"/>
    <w:rsid w:val="00982CD8"/>
    <w:rsid w:val="00986734"/>
    <w:rsid w:val="00990012"/>
    <w:rsid w:val="009974FB"/>
    <w:rsid w:val="009A022B"/>
    <w:rsid w:val="009A4E95"/>
    <w:rsid w:val="009A58BD"/>
    <w:rsid w:val="009B11DD"/>
    <w:rsid w:val="009B2C5D"/>
    <w:rsid w:val="009B2EFD"/>
    <w:rsid w:val="009B571E"/>
    <w:rsid w:val="009C3AAE"/>
    <w:rsid w:val="009D279F"/>
    <w:rsid w:val="009D4610"/>
    <w:rsid w:val="009D684F"/>
    <w:rsid w:val="009D73D0"/>
    <w:rsid w:val="009E1E02"/>
    <w:rsid w:val="009E24C9"/>
    <w:rsid w:val="009E3D4D"/>
    <w:rsid w:val="009F3025"/>
    <w:rsid w:val="009F56B6"/>
    <w:rsid w:val="009F648D"/>
    <w:rsid w:val="00A057C7"/>
    <w:rsid w:val="00A0682C"/>
    <w:rsid w:val="00A10BB1"/>
    <w:rsid w:val="00A11047"/>
    <w:rsid w:val="00A113E2"/>
    <w:rsid w:val="00A12DBD"/>
    <w:rsid w:val="00A149EB"/>
    <w:rsid w:val="00A16985"/>
    <w:rsid w:val="00A2031F"/>
    <w:rsid w:val="00A20E4D"/>
    <w:rsid w:val="00A32FAD"/>
    <w:rsid w:val="00A37F5E"/>
    <w:rsid w:val="00A4124B"/>
    <w:rsid w:val="00A42A7F"/>
    <w:rsid w:val="00A44D93"/>
    <w:rsid w:val="00A5429D"/>
    <w:rsid w:val="00A5679D"/>
    <w:rsid w:val="00A6752B"/>
    <w:rsid w:val="00A76A96"/>
    <w:rsid w:val="00A77ECC"/>
    <w:rsid w:val="00A81065"/>
    <w:rsid w:val="00A8166C"/>
    <w:rsid w:val="00A96863"/>
    <w:rsid w:val="00A96A4F"/>
    <w:rsid w:val="00AA1F74"/>
    <w:rsid w:val="00AA28A1"/>
    <w:rsid w:val="00AA515C"/>
    <w:rsid w:val="00AB4CFE"/>
    <w:rsid w:val="00AC5E4B"/>
    <w:rsid w:val="00AC5EC2"/>
    <w:rsid w:val="00AD2105"/>
    <w:rsid w:val="00AE34C4"/>
    <w:rsid w:val="00AE38F8"/>
    <w:rsid w:val="00AE4803"/>
    <w:rsid w:val="00AE4BF8"/>
    <w:rsid w:val="00AF0195"/>
    <w:rsid w:val="00AF0AE3"/>
    <w:rsid w:val="00AF1588"/>
    <w:rsid w:val="00B00C94"/>
    <w:rsid w:val="00B078C7"/>
    <w:rsid w:val="00B11FAE"/>
    <w:rsid w:val="00B120EC"/>
    <w:rsid w:val="00B150F8"/>
    <w:rsid w:val="00B15B92"/>
    <w:rsid w:val="00B25087"/>
    <w:rsid w:val="00B3283E"/>
    <w:rsid w:val="00B460D5"/>
    <w:rsid w:val="00B47A2A"/>
    <w:rsid w:val="00B52397"/>
    <w:rsid w:val="00B52E82"/>
    <w:rsid w:val="00B539F4"/>
    <w:rsid w:val="00B6292A"/>
    <w:rsid w:val="00B67B6F"/>
    <w:rsid w:val="00B70645"/>
    <w:rsid w:val="00B718F4"/>
    <w:rsid w:val="00B72739"/>
    <w:rsid w:val="00B74B9D"/>
    <w:rsid w:val="00B7615B"/>
    <w:rsid w:val="00B77041"/>
    <w:rsid w:val="00B778DF"/>
    <w:rsid w:val="00B8053F"/>
    <w:rsid w:val="00B849B8"/>
    <w:rsid w:val="00B8593D"/>
    <w:rsid w:val="00B85DA8"/>
    <w:rsid w:val="00B92A5F"/>
    <w:rsid w:val="00B92E4B"/>
    <w:rsid w:val="00B93A84"/>
    <w:rsid w:val="00B97782"/>
    <w:rsid w:val="00BA3103"/>
    <w:rsid w:val="00BA692F"/>
    <w:rsid w:val="00BA75CB"/>
    <w:rsid w:val="00BB1837"/>
    <w:rsid w:val="00BB1BBF"/>
    <w:rsid w:val="00BB31D8"/>
    <w:rsid w:val="00BB6C02"/>
    <w:rsid w:val="00BB7241"/>
    <w:rsid w:val="00BC68E5"/>
    <w:rsid w:val="00BC7418"/>
    <w:rsid w:val="00BC7DAF"/>
    <w:rsid w:val="00BD2C05"/>
    <w:rsid w:val="00BD2F7D"/>
    <w:rsid w:val="00BD3FCB"/>
    <w:rsid w:val="00BD7E6E"/>
    <w:rsid w:val="00BE1859"/>
    <w:rsid w:val="00BE7A65"/>
    <w:rsid w:val="00BF0782"/>
    <w:rsid w:val="00BF1706"/>
    <w:rsid w:val="00BF2DEB"/>
    <w:rsid w:val="00BF4853"/>
    <w:rsid w:val="00BF6CE4"/>
    <w:rsid w:val="00BF78C9"/>
    <w:rsid w:val="00C03D9E"/>
    <w:rsid w:val="00C05B9A"/>
    <w:rsid w:val="00C17B19"/>
    <w:rsid w:val="00C20225"/>
    <w:rsid w:val="00C202A0"/>
    <w:rsid w:val="00C20DBA"/>
    <w:rsid w:val="00C246F4"/>
    <w:rsid w:val="00C261B3"/>
    <w:rsid w:val="00C26E01"/>
    <w:rsid w:val="00C31291"/>
    <w:rsid w:val="00C3331B"/>
    <w:rsid w:val="00C363EE"/>
    <w:rsid w:val="00C367A9"/>
    <w:rsid w:val="00C42020"/>
    <w:rsid w:val="00C4392E"/>
    <w:rsid w:val="00C4498B"/>
    <w:rsid w:val="00C44D28"/>
    <w:rsid w:val="00C501D8"/>
    <w:rsid w:val="00C50657"/>
    <w:rsid w:val="00C55CFE"/>
    <w:rsid w:val="00C664A9"/>
    <w:rsid w:val="00C678BA"/>
    <w:rsid w:val="00C71A4B"/>
    <w:rsid w:val="00C73DF5"/>
    <w:rsid w:val="00C74716"/>
    <w:rsid w:val="00C76D89"/>
    <w:rsid w:val="00C83ABE"/>
    <w:rsid w:val="00C85327"/>
    <w:rsid w:val="00C91D72"/>
    <w:rsid w:val="00C9403E"/>
    <w:rsid w:val="00C96DE9"/>
    <w:rsid w:val="00C97314"/>
    <w:rsid w:val="00C9743A"/>
    <w:rsid w:val="00C97E2D"/>
    <w:rsid w:val="00CA2FCC"/>
    <w:rsid w:val="00CA5F57"/>
    <w:rsid w:val="00CA6498"/>
    <w:rsid w:val="00CB0002"/>
    <w:rsid w:val="00CB54F7"/>
    <w:rsid w:val="00CB5AEA"/>
    <w:rsid w:val="00CC24E6"/>
    <w:rsid w:val="00CC2D33"/>
    <w:rsid w:val="00CC74DB"/>
    <w:rsid w:val="00CD0A21"/>
    <w:rsid w:val="00CD2624"/>
    <w:rsid w:val="00CD6A68"/>
    <w:rsid w:val="00CE1910"/>
    <w:rsid w:val="00CE3BAE"/>
    <w:rsid w:val="00CE4A2D"/>
    <w:rsid w:val="00CF06E9"/>
    <w:rsid w:val="00CF24DE"/>
    <w:rsid w:val="00CF3F1F"/>
    <w:rsid w:val="00CF7557"/>
    <w:rsid w:val="00D03AA6"/>
    <w:rsid w:val="00D04DC8"/>
    <w:rsid w:val="00D12BF3"/>
    <w:rsid w:val="00D25996"/>
    <w:rsid w:val="00D274C9"/>
    <w:rsid w:val="00D3197A"/>
    <w:rsid w:val="00D31A1E"/>
    <w:rsid w:val="00D33329"/>
    <w:rsid w:val="00D345EC"/>
    <w:rsid w:val="00D45870"/>
    <w:rsid w:val="00D56505"/>
    <w:rsid w:val="00D57736"/>
    <w:rsid w:val="00D60BA1"/>
    <w:rsid w:val="00D61604"/>
    <w:rsid w:val="00D63EA6"/>
    <w:rsid w:val="00D66B3B"/>
    <w:rsid w:val="00D6746E"/>
    <w:rsid w:val="00D751B8"/>
    <w:rsid w:val="00D907F8"/>
    <w:rsid w:val="00D91B68"/>
    <w:rsid w:val="00D9227E"/>
    <w:rsid w:val="00D92A0D"/>
    <w:rsid w:val="00D943D4"/>
    <w:rsid w:val="00DA2348"/>
    <w:rsid w:val="00DA616A"/>
    <w:rsid w:val="00DA6FB1"/>
    <w:rsid w:val="00DB2F80"/>
    <w:rsid w:val="00DB3B26"/>
    <w:rsid w:val="00DB51CA"/>
    <w:rsid w:val="00DB5C71"/>
    <w:rsid w:val="00DB787F"/>
    <w:rsid w:val="00DB7E68"/>
    <w:rsid w:val="00DC1AF8"/>
    <w:rsid w:val="00DC3D45"/>
    <w:rsid w:val="00DC3EAE"/>
    <w:rsid w:val="00DC647C"/>
    <w:rsid w:val="00DC6BF0"/>
    <w:rsid w:val="00DD0434"/>
    <w:rsid w:val="00DD5312"/>
    <w:rsid w:val="00DD6FE0"/>
    <w:rsid w:val="00DE0B72"/>
    <w:rsid w:val="00DF1E73"/>
    <w:rsid w:val="00DF3894"/>
    <w:rsid w:val="00DF4416"/>
    <w:rsid w:val="00DF54C7"/>
    <w:rsid w:val="00DF5742"/>
    <w:rsid w:val="00DF5971"/>
    <w:rsid w:val="00DF759A"/>
    <w:rsid w:val="00E01657"/>
    <w:rsid w:val="00E06F05"/>
    <w:rsid w:val="00E11172"/>
    <w:rsid w:val="00E12E18"/>
    <w:rsid w:val="00E142EC"/>
    <w:rsid w:val="00E21475"/>
    <w:rsid w:val="00E246FA"/>
    <w:rsid w:val="00E24C7B"/>
    <w:rsid w:val="00E34CF3"/>
    <w:rsid w:val="00E40327"/>
    <w:rsid w:val="00E51794"/>
    <w:rsid w:val="00E5391D"/>
    <w:rsid w:val="00E57137"/>
    <w:rsid w:val="00E61684"/>
    <w:rsid w:val="00E672FA"/>
    <w:rsid w:val="00E67489"/>
    <w:rsid w:val="00E725FE"/>
    <w:rsid w:val="00E72F15"/>
    <w:rsid w:val="00E75A03"/>
    <w:rsid w:val="00E80441"/>
    <w:rsid w:val="00E806A3"/>
    <w:rsid w:val="00E83124"/>
    <w:rsid w:val="00E95D40"/>
    <w:rsid w:val="00EA7009"/>
    <w:rsid w:val="00EA756F"/>
    <w:rsid w:val="00EB5A45"/>
    <w:rsid w:val="00EB5D04"/>
    <w:rsid w:val="00EB732C"/>
    <w:rsid w:val="00EC0A31"/>
    <w:rsid w:val="00EC0DA0"/>
    <w:rsid w:val="00ED1626"/>
    <w:rsid w:val="00ED3D74"/>
    <w:rsid w:val="00ED5B88"/>
    <w:rsid w:val="00ED7BD7"/>
    <w:rsid w:val="00EE1B77"/>
    <w:rsid w:val="00EE24B3"/>
    <w:rsid w:val="00EE3905"/>
    <w:rsid w:val="00EE73C2"/>
    <w:rsid w:val="00EE7779"/>
    <w:rsid w:val="00EF3BD8"/>
    <w:rsid w:val="00EF4FC3"/>
    <w:rsid w:val="00F01D59"/>
    <w:rsid w:val="00F04815"/>
    <w:rsid w:val="00F04CE7"/>
    <w:rsid w:val="00F04F3B"/>
    <w:rsid w:val="00F13755"/>
    <w:rsid w:val="00F14091"/>
    <w:rsid w:val="00F14148"/>
    <w:rsid w:val="00F15AB8"/>
    <w:rsid w:val="00F15EFD"/>
    <w:rsid w:val="00F162E3"/>
    <w:rsid w:val="00F25C13"/>
    <w:rsid w:val="00F2670B"/>
    <w:rsid w:val="00F3054C"/>
    <w:rsid w:val="00F328AD"/>
    <w:rsid w:val="00F54BC5"/>
    <w:rsid w:val="00F54C76"/>
    <w:rsid w:val="00F70558"/>
    <w:rsid w:val="00F8386F"/>
    <w:rsid w:val="00F85039"/>
    <w:rsid w:val="00F8572E"/>
    <w:rsid w:val="00F866AA"/>
    <w:rsid w:val="00F9163A"/>
    <w:rsid w:val="00F9199C"/>
    <w:rsid w:val="00F96B09"/>
    <w:rsid w:val="00FA09A8"/>
    <w:rsid w:val="00FA10D2"/>
    <w:rsid w:val="00FA70E2"/>
    <w:rsid w:val="00FB1539"/>
    <w:rsid w:val="00FD12E4"/>
    <w:rsid w:val="00FD310D"/>
    <w:rsid w:val="00FE0AAA"/>
    <w:rsid w:val="00FF004E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91D8CE"/>
  <w15:chartTrackingRefBased/>
  <w15:docId w15:val="{C22C12F2-0B08-424A-904D-58839F5C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note text" w:qFormat="1"/>
    <w:lsdException w:name="annotation text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napToGrid w:val="0"/>
      <w:sz w:val="24"/>
      <w:lang w:val="en-GB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Titolo2">
    <w:name w:val="heading 2"/>
    <w:basedOn w:val="Normale"/>
    <w:next w:val="Normale"/>
    <w:link w:val="Titolo2Carattere"/>
    <w:qFormat/>
    <w:pPr>
      <w:keepNext/>
      <w:ind w:left="1276" w:hanging="425"/>
      <w:jc w:val="both"/>
      <w:outlineLvl w:val="1"/>
    </w:pPr>
    <w:rPr>
      <w:rFonts w:ascii="Arial" w:hAnsi="Arial"/>
      <w:b/>
      <w:sz w:val="20"/>
      <w:lang w:val="fr-FR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/>
      <w:b/>
      <w:color w:val="FF0000"/>
      <w:sz w:val="36"/>
      <w:lang w:val="fr-FR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Titolo8">
    <w:name w:val="heading 8"/>
    <w:basedOn w:val="Normale"/>
    <w:next w:val="Normale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ddl-nadpis">
    <w:name w:val="oddíl-nadpis"/>
    <w:basedOn w:val="Normale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e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Sommario2">
    <w:name w:val="toc 2"/>
    <w:basedOn w:val="Normale"/>
    <w:next w:val="Normale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Sommario1">
    <w:name w:val="toc 1"/>
    <w:basedOn w:val="Normale"/>
    <w:next w:val="Normale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e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Pidipagina">
    <w:name w:val="footer"/>
    <w:basedOn w:val="Normale"/>
    <w:link w:val="PidipaginaCarattere"/>
    <w:pPr>
      <w:tabs>
        <w:tab w:val="center" w:pos="4320"/>
        <w:tab w:val="right" w:pos="8640"/>
      </w:tabs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Rientrocorpodeltesto">
    <w:name w:val="Body Text Indent"/>
    <w:basedOn w:val="Normale"/>
    <w:pPr>
      <w:jc w:val="both"/>
    </w:pPr>
    <w:rPr>
      <w:sz w:val="22"/>
    </w:rPr>
  </w:style>
  <w:style w:type="paragraph" w:styleId="Corpotesto">
    <w:name w:val="Body Text"/>
    <w:basedOn w:val="Normale"/>
    <w:pPr>
      <w:jc w:val="both"/>
    </w:pPr>
    <w:rPr>
      <w:rFonts w:ascii="Arial" w:hAnsi="Arial"/>
      <w:sz w:val="20"/>
    </w:rPr>
  </w:style>
  <w:style w:type="paragraph" w:styleId="Rientronormale">
    <w:name w:val="Normal Indent"/>
    <w:basedOn w:val="Normale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Testonotaapidipagina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e"/>
    <w:link w:val="TestonotaapidipaginaCarattere"/>
    <w:qFormat/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qFormat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e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e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e"/>
    <w:pPr>
      <w:spacing w:before="120" w:after="120"/>
      <w:ind w:left="1418" w:hanging="567"/>
      <w:jc w:val="both"/>
    </w:pPr>
  </w:style>
  <w:style w:type="paragraph" w:styleId="Sottotitolo">
    <w:name w:val="Subtitle"/>
    <w:basedOn w:val="Normale"/>
    <w:link w:val="Sotto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olo">
    <w:name w:val="Title"/>
    <w:basedOn w:val="Normale"/>
    <w:link w:val="TitoloCarattere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Sommario3">
    <w:name w:val="toc 3"/>
    <w:basedOn w:val="Normale"/>
    <w:next w:val="Normale"/>
    <w:autoRedefine/>
    <w:semiHidden/>
    <w:pPr>
      <w:ind w:left="480"/>
    </w:pPr>
  </w:style>
  <w:style w:type="paragraph" w:styleId="Sommario4">
    <w:name w:val="toc 4"/>
    <w:basedOn w:val="Normale"/>
    <w:next w:val="Normale"/>
    <w:autoRedefine/>
    <w:semiHidden/>
    <w:pPr>
      <w:ind w:left="720"/>
    </w:pPr>
  </w:style>
  <w:style w:type="paragraph" w:styleId="Sommario5">
    <w:name w:val="toc 5"/>
    <w:basedOn w:val="Normale"/>
    <w:next w:val="Normale"/>
    <w:autoRedefine/>
    <w:semiHidden/>
    <w:pPr>
      <w:ind w:left="960"/>
    </w:p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styleId="Testofumetto">
    <w:name w:val="Balloon Text"/>
    <w:basedOn w:val="Normale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e"/>
    <w:pPr>
      <w:numPr>
        <w:numId w:val="2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Corpodeltesto2">
    <w:name w:val="Body Text 2"/>
    <w:basedOn w:val="Normale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e"/>
    <w:next w:val="Normale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Titolo2Carattere">
    <w:name w:val="Titolo 2 Carattere"/>
    <w:link w:val="Titolo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Enfasigrassetto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Corpotesto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e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Mappadocumento">
    <w:name w:val="Document Map"/>
    <w:basedOn w:val="Normale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e"/>
    <w:next w:val="Normale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Titolo3Carattere">
    <w:name w:val="Titolo 3 Carattere"/>
    <w:link w:val="Titolo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essunelenco"/>
    <w:rsid w:val="005478E4"/>
    <w:pPr>
      <w:numPr>
        <w:numId w:val="3"/>
      </w:numPr>
    </w:pPr>
  </w:style>
  <w:style w:type="paragraph" w:customStyle="1" w:styleId="Style11ptBlackJustifiedRight001cmBefore865ptL">
    <w:name w:val="Style 11 pt Black Justified Right:  001 cm Before:  865 pt L..."/>
    <w:basedOn w:val="Normale"/>
    <w:next w:val="Normale"/>
    <w:autoRedefine/>
    <w:rsid w:val="005478E4"/>
    <w:pPr>
      <w:numPr>
        <w:numId w:val="5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essunelenco"/>
    <w:rsid w:val="005478E4"/>
    <w:pPr>
      <w:numPr>
        <w:numId w:val="4"/>
      </w:numPr>
    </w:pPr>
  </w:style>
  <w:style w:type="paragraph" w:customStyle="1" w:styleId="StyleHeading3">
    <w:name w:val="Style Heading 3"/>
    <w:basedOn w:val="Titolo3"/>
    <w:next w:val="Normale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bCs/>
      <w:sz w:val="22"/>
      <w:szCs w:val="26"/>
      <w:lang w:val="en-US"/>
    </w:rPr>
  </w:style>
  <w:style w:type="paragraph" w:customStyle="1" w:styleId="Normal2">
    <w:name w:val="Normal2"/>
    <w:basedOn w:val="Normale"/>
    <w:next w:val="Normale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e"/>
    <w:rsid w:val="00F9163A"/>
    <w:rPr>
      <w:snapToGrid/>
      <w:lang w:eastAsia="en-GB"/>
    </w:rPr>
  </w:style>
  <w:style w:type="paragraph" w:customStyle="1" w:styleId="Text2">
    <w:name w:val="Text 2"/>
    <w:basedOn w:val="Normale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Titolo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Grigliatabella">
    <w:name w:val="Table Grid"/>
    <w:basedOn w:val="Tabellanormale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Titolo1"/>
    <w:next w:val="Normale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e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Testodelblocco">
    <w:name w:val="Block Text"/>
    <w:basedOn w:val="Normale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e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e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Rimandocommento">
    <w:name w:val="annotation reference"/>
    <w:uiPriority w:val="99"/>
    <w:rsid w:val="004842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4842DD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4842DD"/>
    <w:rPr>
      <w:b/>
      <w:bCs/>
    </w:rPr>
  </w:style>
  <w:style w:type="character" w:customStyle="1" w:styleId="TitoloCarattere">
    <w:name w:val="Titolo Carattere"/>
    <w:link w:val="Titolo"/>
    <w:locked/>
    <w:rsid w:val="00553F9E"/>
    <w:rPr>
      <w:rFonts w:ascii="Arial" w:hAnsi="Arial"/>
      <w:b/>
      <w:snapToGrid w:val="0"/>
      <w:sz w:val="28"/>
      <w:lang w:val="fr-BE" w:eastAsia="en-US" w:bidi="ar-SA"/>
    </w:rPr>
  </w:style>
  <w:style w:type="paragraph" w:styleId="Numeroelenco">
    <w:name w:val="List Number"/>
    <w:basedOn w:val="Normale"/>
    <w:rsid w:val="00553F9E"/>
    <w:pPr>
      <w:numPr>
        <w:numId w:val="6"/>
      </w:numPr>
      <w:spacing w:after="240"/>
      <w:jc w:val="both"/>
    </w:pPr>
    <w:rPr>
      <w:snapToGrid/>
    </w:rPr>
  </w:style>
  <w:style w:type="paragraph" w:customStyle="1" w:styleId="ListNumberLevel2">
    <w:name w:val="List Number (Level 2)"/>
    <w:basedOn w:val="Normale"/>
    <w:rsid w:val="00553F9E"/>
    <w:pPr>
      <w:numPr>
        <w:ilvl w:val="1"/>
        <w:numId w:val="6"/>
      </w:numPr>
      <w:spacing w:after="240"/>
      <w:jc w:val="both"/>
    </w:pPr>
    <w:rPr>
      <w:snapToGrid/>
    </w:rPr>
  </w:style>
  <w:style w:type="paragraph" w:customStyle="1" w:styleId="ListNumberLevel3">
    <w:name w:val="List Number (Level 3)"/>
    <w:basedOn w:val="Normale"/>
    <w:rsid w:val="00553F9E"/>
    <w:pPr>
      <w:numPr>
        <w:ilvl w:val="2"/>
        <w:numId w:val="6"/>
      </w:numPr>
      <w:spacing w:after="240"/>
      <w:jc w:val="both"/>
    </w:pPr>
    <w:rPr>
      <w:snapToGrid/>
    </w:rPr>
  </w:style>
  <w:style w:type="paragraph" w:customStyle="1" w:styleId="ListNumberLevel4">
    <w:name w:val="List Number (Level 4)"/>
    <w:basedOn w:val="Normale"/>
    <w:rsid w:val="00553F9E"/>
    <w:pPr>
      <w:numPr>
        <w:ilvl w:val="3"/>
        <w:numId w:val="6"/>
      </w:numPr>
      <w:spacing w:after="240"/>
      <w:jc w:val="both"/>
    </w:pPr>
    <w:rPr>
      <w:snapToGrid/>
    </w:rPr>
  </w:style>
  <w:style w:type="character" w:customStyle="1" w:styleId="PidipaginaCarattere">
    <w:name w:val="Piè di pagina Carattere"/>
    <w:link w:val="Pidipagina"/>
    <w:rsid w:val="00745CC9"/>
    <w:rPr>
      <w:snapToGrid w:val="0"/>
      <w:sz w:val="24"/>
      <w:lang w:eastAsia="en-US"/>
    </w:rPr>
  </w:style>
  <w:style w:type="character" w:customStyle="1" w:styleId="TestocommentoCarattere">
    <w:name w:val="Testo commento Carattere"/>
    <w:link w:val="Testocommento"/>
    <w:uiPriority w:val="99"/>
    <w:rsid w:val="00C261B3"/>
    <w:rPr>
      <w:snapToGrid w:val="0"/>
      <w:lang w:eastAsia="en-US"/>
    </w:rPr>
  </w:style>
  <w:style w:type="character" w:customStyle="1" w:styleId="hps">
    <w:name w:val="hps"/>
    <w:rsid w:val="00821569"/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Carattere,Footnote Text Char Char Carattere,fn Carattere"/>
    <w:link w:val="Testonotaapidipagina"/>
    <w:rsid w:val="00127C86"/>
    <w:rPr>
      <w:snapToGrid w:val="0"/>
      <w:lang w:eastAsia="en-US"/>
    </w:rPr>
  </w:style>
  <w:style w:type="paragraph" w:customStyle="1" w:styleId="Article">
    <w:name w:val="Article"/>
    <w:basedOn w:val="Normale"/>
    <w:autoRedefine/>
    <w:qFormat/>
    <w:rsid w:val="00F15AB8"/>
    <w:pPr>
      <w:keepNext/>
      <w:numPr>
        <w:numId w:val="12"/>
      </w:numPr>
      <w:tabs>
        <w:tab w:val="left" w:pos="1560"/>
      </w:tabs>
      <w:spacing w:before="360" w:after="120" w:line="276" w:lineRule="auto"/>
    </w:pPr>
    <w:rPr>
      <w:rFonts w:eastAsia="Calibri"/>
      <w:b/>
      <w:snapToGrid/>
      <w:szCs w:val="22"/>
    </w:rPr>
  </w:style>
  <w:style w:type="paragraph" w:customStyle="1" w:styleId="pointarticle">
    <w:name w:val="point article"/>
    <w:basedOn w:val="Titolo2"/>
    <w:link w:val="pointarticleChar"/>
    <w:autoRedefine/>
    <w:qFormat/>
    <w:rsid w:val="00F15AB8"/>
    <w:pPr>
      <w:keepNext w:val="0"/>
      <w:numPr>
        <w:ilvl w:val="1"/>
        <w:numId w:val="12"/>
      </w:numPr>
      <w:spacing w:before="240" w:after="60" w:line="276" w:lineRule="auto"/>
    </w:pPr>
    <w:rPr>
      <w:rFonts w:ascii="Times New Roman" w:hAnsi="Times New Roman"/>
      <w:b w:val="0"/>
      <w:bCs/>
      <w:iCs/>
      <w:snapToGrid/>
      <w:sz w:val="22"/>
      <w:szCs w:val="28"/>
      <w:lang w:val="en-GB"/>
    </w:rPr>
  </w:style>
  <w:style w:type="character" w:customStyle="1" w:styleId="pointarticleChar">
    <w:name w:val="point article Char"/>
    <w:link w:val="pointarticle"/>
    <w:rsid w:val="00F15AB8"/>
    <w:rPr>
      <w:bCs/>
      <w:iCs/>
      <w:sz w:val="22"/>
      <w:szCs w:val="28"/>
      <w:lang w:eastAsia="en-US"/>
    </w:rPr>
  </w:style>
  <w:style w:type="paragraph" w:styleId="Revisione">
    <w:name w:val="Revision"/>
    <w:hidden/>
    <w:uiPriority w:val="99"/>
    <w:semiHidden/>
    <w:rsid w:val="003001D9"/>
    <w:rPr>
      <w:snapToGrid w:val="0"/>
      <w:sz w:val="24"/>
      <w:lang w:val="en-GB"/>
    </w:rPr>
  </w:style>
  <w:style w:type="paragraph" w:customStyle="1" w:styleId="paragraph">
    <w:name w:val="paragraph"/>
    <w:basedOn w:val="Normale"/>
    <w:rsid w:val="004A2BDD"/>
    <w:pPr>
      <w:spacing w:before="100" w:beforeAutospacing="1" w:after="100" w:afterAutospacing="1"/>
    </w:pPr>
    <w:rPr>
      <w:snapToGrid/>
      <w:szCs w:val="24"/>
      <w:lang w:val="fr-BE" w:eastAsia="fr-BE"/>
    </w:rPr>
  </w:style>
  <w:style w:type="paragraph" w:styleId="Paragrafoelenco">
    <w:name w:val="List Paragraph"/>
    <w:basedOn w:val="Normale"/>
    <w:uiPriority w:val="34"/>
    <w:qFormat/>
    <w:rsid w:val="007953B7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SottotitoloCarattere">
    <w:name w:val="Sottotitolo Carattere"/>
    <w:link w:val="Sottotitolo"/>
    <w:rsid w:val="00DC6BF0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D415-2C81-4C79-851A-FCCFE78A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&lt;LETTRE D’INVITATION À SOUMISSIONNER&gt;</vt:lpstr>
      <vt:lpstr>&lt;LETTRE D’INVITATION À SOUMISSIONNER&gt;</vt:lpstr>
    </vt:vector>
  </TitlesOfParts>
  <Company>European Commission</Company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Sara Cavallet</cp:lastModifiedBy>
  <cp:revision>5</cp:revision>
  <cp:lastPrinted>2026-04-22T11:55:00Z</cp:lastPrinted>
  <dcterms:created xsi:type="dcterms:W3CDTF">2026-04-22T10:35:00Z</dcterms:created>
  <dcterms:modified xsi:type="dcterms:W3CDTF">2026-04-22T11:55:00Z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2023-09-07T11:18:35Z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6563e9f7-14eb-499d-b685-fb65ba2ea0d6</vt:lpwstr>
  </property>
  <property fmtid="{D5CDD505-2E9C-101B-9397-08002B2CF9AE}" pid="8" name="MSIP_Label_6bd9ddd1-4d20-43f6-abfa-fc3c07406f94_ContentBits">
    <vt:lpwstr>0</vt:lpwstr>
  </property>
</Properties>
</file>