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992150035" w:edGrp="everyone"/>
      <w:permEnd w:id="992150035"/>
      <w:r>
        <w:rPr>
          <w:i/>
          <w:sz w:val="28"/>
          <w:szCs w:val="28"/>
          <w:lang w:val="en-GB"/>
        </w:rPr>
        <w:t>TENDER FORM FOR A SUPPLY CONTRACT</w:t>
      </w:r>
      <w:bookmarkEnd w:id="0"/>
    </w:p>
    <w:bookmarkEnd w:id="1"/>
    <w:p w:rsidR="001F4316" w:rsidRDefault="00D40FF3" w:rsidP="001F4316">
      <w:pPr>
        <w:pStyle w:val="Title"/>
        <w:jc w:val="left"/>
        <w:rPr>
          <w:sz w:val="22"/>
          <w:szCs w:val="22"/>
        </w:rPr>
      </w:pPr>
      <w:r>
        <w:rPr>
          <w:sz w:val="22"/>
          <w:szCs w:val="22"/>
          <w:lang w:val="en-GB"/>
        </w:rPr>
        <w:t xml:space="preserve">Publication reference: </w:t>
      </w:r>
      <w:r w:rsidR="005D4DA8">
        <w:t>33</w:t>
      </w:r>
      <w:r w:rsidR="001F4316">
        <w:t>/CUAMM/ETH/2025/AID 07/12282/ETH</w:t>
      </w:r>
      <w:r w:rsidR="001F4316">
        <w:rPr>
          <w:sz w:val="22"/>
          <w:szCs w:val="22"/>
        </w:rPr>
        <w:t xml:space="preserve"> </w:t>
      </w:r>
    </w:p>
    <w:p w:rsidR="005D4DA8" w:rsidRPr="005D4DA8" w:rsidRDefault="0007529B" w:rsidP="005D4DA8">
      <w:pPr>
        <w:autoSpaceDE w:val="0"/>
        <w:autoSpaceDN w:val="0"/>
        <w:adjustRightInd w:val="0"/>
        <w:spacing w:after="0"/>
        <w:jc w:val="both"/>
        <w:rPr>
          <w:rFonts w:cs="Arial"/>
          <w:b/>
        </w:rPr>
      </w:pPr>
      <w:r w:rsidRPr="005D4DA8">
        <w:rPr>
          <w:b/>
          <w:sz w:val="22"/>
          <w:szCs w:val="22"/>
        </w:rPr>
        <w:t xml:space="preserve">Title of contract: </w:t>
      </w:r>
      <w:r w:rsidR="005D4DA8" w:rsidRPr="005D4DA8">
        <w:rPr>
          <w:rFonts w:cs="Arial"/>
          <w:b/>
        </w:rPr>
        <w:t>Supply of medical drugs, consumables and Equipment.</w:t>
      </w:r>
    </w:p>
    <w:p w:rsidR="005D4DA8" w:rsidRPr="001A5076" w:rsidRDefault="005D4DA8" w:rsidP="005D4DA8">
      <w:pPr>
        <w:autoSpaceDE w:val="0"/>
        <w:autoSpaceDN w:val="0"/>
        <w:adjustRightInd w:val="0"/>
        <w:spacing w:after="0"/>
        <w:ind w:left="709" w:firstLine="11"/>
        <w:jc w:val="both"/>
        <w:rPr>
          <w:szCs w:val="24"/>
        </w:rPr>
      </w:pPr>
    </w:p>
    <w:p w:rsidR="00BC05C3" w:rsidRPr="001F4316" w:rsidRDefault="00BC05C3" w:rsidP="00B326E7">
      <w:pPr>
        <w:pStyle w:val="Title"/>
        <w:jc w:val="left"/>
        <w:rPr>
          <w:sz w:val="22"/>
          <w:szCs w:val="22"/>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rsidP="00342A5D">
      <w:pPr>
        <w:pBdr>
          <w:top w:val="single" w:sz="4" w:space="1" w:color="auto"/>
        </w:pBdr>
        <w:spacing w:after="0"/>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5D4DA8">
        <w:t>33</w:t>
      </w:r>
      <w:r w:rsidR="006D0E8E">
        <w:t>/CUAMM/ETH/2025/AID 07/12282/ETH</w:t>
      </w:r>
      <w:r w:rsidR="006D0E8E">
        <w:rPr>
          <w:sz w:val="22"/>
          <w:szCs w:val="22"/>
        </w:rPr>
        <w:t xml:space="preserve"> </w:t>
      </w:r>
      <w:r w:rsidR="009F22D4">
        <w:rPr>
          <w:sz w:val="22"/>
          <w:szCs w:val="22"/>
        </w:rPr>
        <w:t xml:space="preserve">of </w:t>
      </w:r>
      <w:r w:rsidR="005D4DA8">
        <w:rPr>
          <w:sz w:val="22"/>
          <w:szCs w:val="22"/>
        </w:rPr>
        <w:t>20</w:t>
      </w:r>
      <w:r w:rsidR="00AA542E">
        <w:rPr>
          <w:sz w:val="22"/>
          <w:szCs w:val="22"/>
        </w:rPr>
        <w:t>th</w:t>
      </w:r>
      <w:r w:rsidRPr="006837D2">
        <w:rPr>
          <w:sz w:val="22"/>
          <w:szCs w:val="22"/>
        </w:rPr>
        <w:t xml:space="preserve"> of </w:t>
      </w:r>
      <w:r w:rsidR="005D4DA8">
        <w:rPr>
          <w:sz w:val="22"/>
          <w:szCs w:val="22"/>
        </w:rPr>
        <w:t>June</w:t>
      </w:r>
      <w:bookmarkStart w:id="2" w:name="_GoBack"/>
      <w:bookmarkEnd w:id="2"/>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4D6756"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56" w:rsidRDefault="004D6756">
      <w:pPr>
        <w:spacing w:after="0"/>
      </w:pPr>
      <w:r>
        <w:separator/>
      </w:r>
    </w:p>
  </w:endnote>
  <w:endnote w:type="continuationSeparator" w:id="0">
    <w:p w:rsidR="004D6756" w:rsidRDefault="004D6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D4DA8">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D4DA8">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D4DA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D4DA8">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D4DA8">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D4DA8">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D4DA8">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D4DA8">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56" w:rsidRDefault="004D6756">
      <w:pPr>
        <w:spacing w:after="0"/>
      </w:pPr>
      <w:r>
        <w:separator/>
      </w:r>
    </w:p>
  </w:footnote>
  <w:footnote w:type="continuationSeparator" w:id="0">
    <w:p w:rsidR="004D6756" w:rsidRDefault="004D6756">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4316"/>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A93"/>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2A5D"/>
    <w:rsid w:val="00347075"/>
    <w:rsid w:val="00347B7E"/>
    <w:rsid w:val="003502E9"/>
    <w:rsid w:val="00351351"/>
    <w:rsid w:val="00360344"/>
    <w:rsid w:val="003613D2"/>
    <w:rsid w:val="00371851"/>
    <w:rsid w:val="00371886"/>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D6756"/>
    <w:rsid w:val="004F0604"/>
    <w:rsid w:val="004F13AC"/>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4DA8"/>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2EFF"/>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0E8E"/>
    <w:rsid w:val="006D3BA1"/>
    <w:rsid w:val="006E0D16"/>
    <w:rsid w:val="006E2E3C"/>
    <w:rsid w:val="006E4B07"/>
    <w:rsid w:val="006E56FD"/>
    <w:rsid w:val="006E6880"/>
    <w:rsid w:val="006E7155"/>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35407"/>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7214"/>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23D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52D"/>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47D35"/>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561D3-C6F1-4157-8371-F340A8AF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110</cp:revision>
  <cp:lastPrinted>2012-09-24T09:39:00Z</cp:lastPrinted>
  <dcterms:created xsi:type="dcterms:W3CDTF">2018-12-18T11:43:00Z</dcterms:created>
  <dcterms:modified xsi:type="dcterms:W3CDTF">2025-06-17T07:35:00Z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