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361CDE">
        <w:rPr>
          <w:rFonts w:ascii="Times New Roman" w:hAnsi="Times New Roman"/>
          <w:b/>
          <w:sz w:val="28"/>
          <w:szCs w:val="28"/>
          <w:lang w:val="en-GB"/>
        </w:rPr>
        <w:t>003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327CB" w:rsidRPr="006972A2">
        <w:rPr>
          <w:rFonts w:ascii="Times New Roman" w:hAnsi="Times New Roman"/>
          <w:b/>
          <w:sz w:val="28"/>
          <w:szCs w:val="28"/>
          <w:lang w:val="en-GB"/>
        </w:rPr>
        <w:t xml:space="preserve">Supply of </w:t>
      </w:r>
      <w:r w:rsidR="00361CDE" w:rsidRPr="006972A2">
        <w:rPr>
          <w:rFonts w:ascii="Times New Roman" w:hAnsi="Times New Roman"/>
          <w:b/>
          <w:sz w:val="28"/>
          <w:szCs w:val="28"/>
          <w:lang w:val="en-GB"/>
        </w:rPr>
        <w:t xml:space="preserve">Solar </w:t>
      </w:r>
      <w:r w:rsidR="0076584D">
        <w:rPr>
          <w:rFonts w:ascii="Times New Roman" w:hAnsi="Times New Roman"/>
          <w:b/>
          <w:sz w:val="28"/>
          <w:szCs w:val="28"/>
          <w:lang w:val="en-GB"/>
        </w:rPr>
        <w:t xml:space="preserve">Vaccine </w:t>
      </w:r>
      <w:bookmarkStart w:id="1" w:name="_GoBack"/>
      <w:bookmarkEnd w:id="1"/>
      <w:r w:rsidR="00361CDE" w:rsidRPr="006972A2">
        <w:rPr>
          <w:rFonts w:ascii="Times New Roman" w:hAnsi="Times New Roman"/>
          <w:b/>
          <w:sz w:val="28"/>
          <w:szCs w:val="28"/>
          <w:lang w:val="en-GB"/>
        </w:rPr>
        <w:t>Refrigerator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094"/>
        <w:gridCol w:w="216"/>
        <w:gridCol w:w="168"/>
        <w:gridCol w:w="1089"/>
        <w:gridCol w:w="285"/>
        <w:gridCol w:w="173"/>
        <w:gridCol w:w="1084"/>
        <w:gridCol w:w="2021"/>
        <w:gridCol w:w="168"/>
        <w:gridCol w:w="1089"/>
        <w:gridCol w:w="1914"/>
        <w:gridCol w:w="174"/>
        <w:gridCol w:w="1083"/>
        <w:gridCol w:w="1649"/>
        <w:gridCol w:w="173"/>
        <w:gridCol w:w="1084"/>
      </w:tblGrid>
      <w:tr w:rsidR="004D2FD8" w:rsidRPr="00A273CA" w:rsidTr="006327CB">
        <w:trPr>
          <w:gridBefore w:val="1"/>
          <w:gridAfter w:val="1"/>
          <w:wBefore w:w="163" w:type="dxa"/>
          <w:wAfter w:w="1084" w:type="dxa"/>
          <w:trHeight w:val="495"/>
          <w:jc w:val="center"/>
        </w:trPr>
        <w:tc>
          <w:tcPr>
            <w:tcW w:w="1478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3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3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6327CB">
        <w:trPr>
          <w:gridBefore w:val="1"/>
          <w:gridAfter w:val="1"/>
          <w:wBefore w:w="163" w:type="dxa"/>
          <w:wAfter w:w="1084" w:type="dxa"/>
          <w:trHeight w:val="686"/>
          <w:jc w:val="center"/>
        </w:trPr>
        <w:tc>
          <w:tcPr>
            <w:tcW w:w="1478" w:type="dxa"/>
            <w:gridSpan w:val="3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3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6A386C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6A386C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3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6327CB">
        <w:trPr>
          <w:gridAfter w:val="2"/>
          <w:wAfter w:w="1257" w:type="dxa"/>
          <w:trHeight w:val="484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48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6327CB">
        <w:trPr>
          <w:gridBefore w:val="2"/>
          <w:wBefore w:w="1257" w:type="dxa"/>
          <w:trHeight w:val="402"/>
          <w:jc w:val="center"/>
        </w:trPr>
        <w:tc>
          <w:tcPr>
            <w:tcW w:w="1473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3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Default="006327CB" w:rsidP="006327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6327CB" w:rsidRPr="006327CB" w:rsidRDefault="006327CB" w:rsidP="00D920C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6327CB">
      <w:footerReference w:type="default" r:id="rId11"/>
      <w:footerReference w:type="first" r:id="rId12"/>
      <w:type w:val="oddPage"/>
      <w:pgSz w:w="16840" w:h="11907" w:orient="landscape" w:code="9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6C" w:rsidRDefault="006A386C">
      <w:r>
        <w:separator/>
      </w:r>
    </w:p>
  </w:endnote>
  <w:endnote w:type="continuationSeparator" w:id="0">
    <w:p w:rsidR="006A386C" w:rsidRDefault="006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D920C3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/>
    </w:r>
    <w:r w:rsidR="00E07ABE" w:rsidRPr="00A37A9E">
      <w:rPr>
        <w:rFonts w:ascii="Times New Roman" w:hAnsi="Times New Roman"/>
        <w:sz w:val="18"/>
        <w:szCs w:val="18"/>
      </w:rPr>
    </w:r>
    <w:r w:rsidR="00D920C3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8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BF70A7">
      <w:rPr>
        <w:rFonts w:ascii="Times New Roman" w:hAnsi="Times New Roman"/>
        <w:sz w:val="18"/>
        <w:szCs w:val="18"/>
      </w:rPr>
    </w:r>
    <w:r w:rsidR="0076584D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/>
    </w:r>
    <w:r w:rsidR="004A2F1C" w:rsidRPr="00345D88">
      <w:rPr>
        <w:rFonts w:ascii="Times New Roman" w:hAnsi="Times New Roman"/>
        <w:sz w:val="18"/>
        <w:szCs w:val="18"/>
      </w:rPr>
    </w:r>
    <w:r w:rsidR="0076584D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</w:r>
    <w:r w:rsidRPr="003C52C0">
      <w:rPr>
        <w:rFonts w:ascii="Times New Roman" w:hAnsi="Times New Roman"/>
        <w:sz w:val="18"/>
        <w:szCs w:val="18"/>
        <w:lang w:val="en-GB"/>
      </w:rPr>
      <w:instrText xml:space="preserve"/>
    </w:r>
    <w:r w:rsidRPr="003C52C0">
      <w:rPr>
        <w:rFonts w:ascii="Times New Roman" w:hAnsi="Times New Roman"/>
        <w:sz w:val="18"/>
        <w:szCs w:val="18"/>
      </w:rPr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6C" w:rsidRDefault="006A386C">
      <w:r>
        <w:separator/>
      </w:r>
    </w:p>
  </w:footnote>
  <w:footnote w:type="continuationSeparator" w:id="0">
    <w:p w:rsidR="006A386C" w:rsidRDefault="006A386C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6A386C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6A386C">
        <w:rPr>
          <w:rFonts w:ascii="Times New Roman" w:hAnsi="Times New Roman"/>
          <w:highlight w:val="lightGray"/>
          <w:lang w:val="en-GB"/>
        </w:rPr>
        <w:t>][</w:t>
      </w:r>
      <w:r w:rsidR="00295396" w:rsidRPr="006A386C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6A386C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3B4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61CDE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972A2"/>
    <w:rsid w:val="006A386C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6584D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7636"/>
    <w:rsid w:val="00AD2BDC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0FCE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20C3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B8A0A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F8A1A-215D-474B-AC45-A53C8B5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22</cp:revision>
  <cp:lastPrinted>2015-12-03T09:09:00Z</cp:lastPrinted>
  <dcterms:created xsi:type="dcterms:W3CDTF">2018-12-18T11:40:00Z</dcterms:created>
  <dcterms:modified xsi:type="dcterms:W3CDTF">2023-02-09T16:06:00Z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