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166367" w:rsidRPr="00DB4524">
        <w:rPr>
          <w:rFonts w:ascii="Times New Roman" w:hAnsi="Times New Roman"/>
          <w:b/>
          <w:sz w:val="22"/>
          <w:szCs w:val="22"/>
          <w:lang w:val="en-GB"/>
        </w:rPr>
        <w:t>medical Drugs</w:t>
      </w:r>
      <w:r w:rsidRPr="002B0798">
        <w:rPr>
          <w:rFonts w:ascii="Times New Roman" w:hAnsi="Times New Roman"/>
          <w:b/>
          <w:sz w:val="22"/>
          <w:szCs w:val="22"/>
          <w:lang w:val="en-GB"/>
        </w:rPr>
        <w:tab/>
      </w:r>
      <w:r w:rsidRPr="002B0798">
        <w:rPr>
          <w:rFonts w:ascii="Times New Roman" w:hAnsi="Times New Roman"/>
          <w:b/>
          <w:sz w:val="22"/>
          <w:lang w:val="en-GB"/>
        </w:rPr>
        <w:t>p 1 /…</w:t>
      </w: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Pr="008F25C7">
        <w:rPr>
          <w:rFonts w:ascii="Times New Roman" w:hAnsi="Times New Roman"/>
          <w:b/>
          <w:sz w:val="22"/>
          <w:szCs w:val="22"/>
          <w:lang w:val="en-GB"/>
        </w:rPr>
        <w:t>:</w:t>
      </w:r>
      <w:r w:rsidR="0036173C" w:rsidRPr="008F25C7">
        <w:rPr>
          <w:rFonts w:ascii="Times New Roman" w:hAnsi="Times New Roman"/>
          <w:b/>
          <w:sz w:val="22"/>
          <w:lang w:val="en-GB"/>
        </w:rPr>
        <w:t xml:space="preserve"> </w:t>
      </w:r>
      <w:r w:rsidR="00006CE7" w:rsidRPr="008F25C7">
        <w:rPr>
          <w:rFonts w:ascii="Times New Roman" w:hAnsi="Times New Roman"/>
          <w:b/>
          <w:sz w:val="22"/>
          <w:szCs w:val="22"/>
          <w:lang w:val="en-GB"/>
        </w:rPr>
        <w:t>27</w:t>
      </w:r>
      <w:r w:rsidR="00166367" w:rsidRPr="008F25C7">
        <w:rPr>
          <w:rFonts w:ascii="Times New Roman" w:hAnsi="Times New Roman"/>
          <w:b/>
          <w:sz w:val="22"/>
          <w:szCs w:val="22"/>
          <w:lang w:val="en-GB"/>
        </w:rPr>
        <w:t>/CUAMM/ETH</w:t>
      </w:r>
    </w:p>
    <w:p w:rsidR="00301346" w:rsidRPr="000726B9" w:rsidRDefault="00301346" w:rsidP="00166367">
      <w:pPr>
        <w:spacing w:before="0" w:after="0"/>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006CE7" w:rsidRDefault="00006CE7" w:rsidP="00EB4039">
      <w:pPr>
        <w:ind w:left="567" w:hanging="567"/>
        <w:jc w:val="both"/>
        <w:rPr>
          <w:rFonts w:ascii="Times New Roman" w:hAnsi="Times New Roman"/>
          <w:sz w:val="22"/>
          <w:szCs w:val="22"/>
          <w:lang w:val="en-GB"/>
        </w:rPr>
      </w:pPr>
    </w:p>
    <w:p w:rsidR="00006CE7" w:rsidRDefault="00006CE7" w:rsidP="00EB4039">
      <w:pPr>
        <w:ind w:left="567" w:hanging="567"/>
        <w:jc w:val="both"/>
        <w:rPr>
          <w:rFonts w:ascii="Times New Roman" w:hAnsi="Times New Roman"/>
          <w:sz w:val="22"/>
          <w:szCs w:val="22"/>
          <w:lang w:val="en-GB"/>
        </w:rPr>
      </w:pPr>
    </w:p>
    <w:p w:rsidR="00006CE7" w:rsidRDefault="00006CE7" w:rsidP="00EB4039">
      <w:pPr>
        <w:ind w:left="567" w:hanging="567"/>
        <w:jc w:val="both"/>
        <w:rPr>
          <w:rFonts w:ascii="Times New Roman" w:hAnsi="Times New Roman"/>
          <w:sz w:val="22"/>
          <w:szCs w:val="22"/>
          <w:lang w:val="en-GB"/>
        </w:rPr>
      </w:pPr>
    </w:p>
    <w:p w:rsidR="00006CE7" w:rsidRDefault="00006CE7" w:rsidP="00EB4039">
      <w:pPr>
        <w:ind w:left="567" w:hanging="567"/>
        <w:jc w:val="both"/>
        <w:rPr>
          <w:rFonts w:ascii="Times New Roman" w:hAnsi="Times New Roman"/>
          <w:sz w:val="22"/>
          <w:szCs w:val="22"/>
          <w:lang w:val="en-GB"/>
        </w:rPr>
      </w:pPr>
    </w:p>
    <w:tbl>
      <w:tblPr>
        <w:tblW w:w="157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3040"/>
        <w:gridCol w:w="4050"/>
        <w:gridCol w:w="1134"/>
        <w:gridCol w:w="952"/>
        <w:gridCol w:w="1101"/>
        <w:gridCol w:w="17"/>
        <w:gridCol w:w="2244"/>
        <w:gridCol w:w="2126"/>
      </w:tblGrid>
      <w:tr w:rsidR="007D3C63" w:rsidRPr="00034B1D" w:rsidTr="00807D20">
        <w:trPr>
          <w:cantSplit/>
          <w:trHeight w:val="879"/>
          <w:tblHeader/>
        </w:trPr>
        <w:tc>
          <w:tcPr>
            <w:tcW w:w="1056" w:type="dxa"/>
            <w:shd w:val="pct5" w:color="auto" w:fill="FFFFFF"/>
            <w:vAlign w:val="center"/>
          </w:tcPr>
          <w:p w:rsidR="007D3C63" w:rsidRDefault="005C4176" w:rsidP="00006CE7">
            <w:pPr>
              <w:spacing w:before="0" w:after="0"/>
              <w:jc w:val="center"/>
              <w:rPr>
                <w:rFonts w:ascii="Times New Roman" w:hAnsi="Times New Roman"/>
                <w:b/>
                <w:sz w:val="22"/>
                <w:szCs w:val="22"/>
              </w:rPr>
            </w:pPr>
            <w:r>
              <w:rPr>
                <w:rFonts w:ascii="Times New Roman" w:hAnsi="Times New Roman"/>
                <w:sz w:val="22"/>
                <w:szCs w:val="22"/>
                <w:lang w:val="en-GB"/>
              </w:rPr>
              <w:lastRenderedPageBreak/>
              <w:br w:type="page"/>
            </w:r>
            <w:r w:rsidR="007D3C63">
              <w:rPr>
                <w:rFonts w:ascii="Times New Roman" w:hAnsi="Times New Roman"/>
                <w:b/>
                <w:sz w:val="22"/>
                <w:szCs w:val="22"/>
              </w:rPr>
              <w:t>1.</w:t>
            </w:r>
          </w:p>
          <w:p w:rsidR="007D3C63" w:rsidRPr="00034B1D" w:rsidRDefault="007D3C63" w:rsidP="00006CE7">
            <w:pPr>
              <w:spacing w:before="0" w:after="0"/>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3040" w:type="dxa"/>
            <w:shd w:val="pct5" w:color="auto" w:fill="FFFFFF"/>
            <w:vAlign w:val="center"/>
          </w:tcPr>
          <w:p w:rsidR="007D3C63" w:rsidRDefault="007D3C63" w:rsidP="00006CE7">
            <w:pPr>
              <w:spacing w:before="0" w:after="0"/>
              <w:jc w:val="center"/>
              <w:rPr>
                <w:rFonts w:ascii="Times New Roman" w:hAnsi="Times New Roman"/>
                <w:b/>
                <w:sz w:val="22"/>
                <w:szCs w:val="22"/>
              </w:rPr>
            </w:pPr>
            <w:r>
              <w:rPr>
                <w:rFonts w:ascii="Times New Roman" w:hAnsi="Times New Roman"/>
                <w:b/>
                <w:sz w:val="22"/>
                <w:szCs w:val="22"/>
              </w:rPr>
              <w:t>2.</w:t>
            </w:r>
          </w:p>
          <w:p w:rsidR="007D3C63" w:rsidRPr="007D3C63" w:rsidRDefault="007D3C63" w:rsidP="00006CE7">
            <w:pPr>
              <w:tabs>
                <w:tab w:val="left" w:pos="1260"/>
              </w:tabs>
              <w:spacing w:before="0" w:after="0"/>
              <w:jc w:val="center"/>
              <w:rPr>
                <w:rFonts w:ascii="Times New Roman" w:hAnsi="Times New Roman"/>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7237" w:type="dxa"/>
            <w:gridSpan w:val="4"/>
            <w:shd w:val="pct5" w:color="auto" w:fill="FFFFFF"/>
            <w:vAlign w:val="center"/>
          </w:tcPr>
          <w:p w:rsidR="007D3C63" w:rsidRDefault="007D3C63" w:rsidP="00006CE7">
            <w:pPr>
              <w:tabs>
                <w:tab w:val="left" w:pos="729"/>
              </w:tabs>
              <w:spacing w:before="0" w:after="0"/>
              <w:jc w:val="center"/>
              <w:rPr>
                <w:rFonts w:ascii="Times New Roman" w:hAnsi="Times New Roman"/>
                <w:b/>
                <w:sz w:val="22"/>
                <w:szCs w:val="22"/>
              </w:rPr>
            </w:pPr>
            <w:r>
              <w:rPr>
                <w:rFonts w:ascii="Times New Roman" w:hAnsi="Times New Roman"/>
                <w:b/>
                <w:sz w:val="22"/>
                <w:szCs w:val="22"/>
              </w:rPr>
              <w:t>3.</w:t>
            </w:r>
          </w:p>
          <w:p w:rsidR="007D3C63" w:rsidRPr="00034B1D" w:rsidRDefault="007D3C63" w:rsidP="00006CE7">
            <w:pPr>
              <w:tabs>
                <w:tab w:val="left" w:pos="729"/>
              </w:tabs>
              <w:spacing w:before="0" w:after="0"/>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2261" w:type="dxa"/>
            <w:gridSpan w:val="2"/>
            <w:shd w:val="pct5" w:color="auto" w:fill="FFFFFF"/>
            <w:vAlign w:val="center"/>
          </w:tcPr>
          <w:p w:rsidR="007D3C63" w:rsidRDefault="007D3C63" w:rsidP="00006CE7">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7D3C63" w:rsidRPr="00034B1D" w:rsidRDefault="007D3C63" w:rsidP="00006CE7">
            <w:pPr>
              <w:tabs>
                <w:tab w:val="left" w:pos="729"/>
              </w:tabs>
              <w:spacing w:before="0" w:after="0"/>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126" w:type="dxa"/>
            <w:shd w:val="pct5" w:color="auto" w:fill="FFFFFF"/>
            <w:vAlign w:val="center"/>
          </w:tcPr>
          <w:p w:rsidR="007D3C63" w:rsidRDefault="007D3C63" w:rsidP="00006CE7">
            <w:pPr>
              <w:tabs>
                <w:tab w:val="left" w:pos="729"/>
              </w:tabs>
              <w:spacing w:before="0" w:after="0"/>
              <w:jc w:val="center"/>
              <w:rPr>
                <w:rFonts w:ascii="Times New Roman" w:hAnsi="Times New Roman"/>
                <w:b/>
                <w:sz w:val="22"/>
                <w:szCs w:val="22"/>
                <w:lang w:val="en-GB"/>
              </w:rPr>
            </w:pPr>
            <w:r>
              <w:rPr>
                <w:rFonts w:ascii="Times New Roman" w:hAnsi="Times New Roman"/>
                <w:b/>
                <w:sz w:val="22"/>
                <w:szCs w:val="22"/>
                <w:lang w:val="en-GB"/>
              </w:rPr>
              <w:t>5.</w:t>
            </w:r>
          </w:p>
          <w:p w:rsidR="007D3C63" w:rsidRPr="00034B1D" w:rsidRDefault="007D3C63" w:rsidP="00006CE7">
            <w:pPr>
              <w:tabs>
                <w:tab w:val="left" w:pos="729"/>
              </w:tabs>
              <w:spacing w:before="0" w:after="0"/>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ommittee’s notes</w:t>
            </w:r>
          </w:p>
        </w:tc>
      </w:tr>
      <w:tr w:rsidR="007D3C63" w:rsidRPr="001B46EC" w:rsidTr="00807D20">
        <w:trPr>
          <w:cantSplit/>
        </w:trPr>
        <w:tc>
          <w:tcPr>
            <w:tcW w:w="1056" w:type="dxa"/>
            <w:vAlign w:val="bottom"/>
          </w:tcPr>
          <w:p w:rsidR="007D3C63" w:rsidRPr="001B46EC" w:rsidRDefault="00DB4524" w:rsidP="001B46EC">
            <w:pPr>
              <w:jc w:val="center"/>
              <w:rPr>
                <w:rFonts w:ascii="Times New Roman" w:hAnsi="Times New Roman"/>
                <w:b/>
                <w:sz w:val="22"/>
                <w:szCs w:val="22"/>
                <w:highlight w:val="green"/>
                <w:lang w:val="en-GB"/>
              </w:rPr>
            </w:pPr>
            <w:r w:rsidRPr="001B46EC">
              <w:rPr>
                <w:rFonts w:ascii="Times New Roman" w:hAnsi="Times New Roman"/>
                <w:b/>
                <w:sz w:val="22"/>
                <w:szCs w:val="22"/>
                <w:lang w:val="en-GB"/>
              </w:rPr>
              <w:t>Lots</w:t>
            </w:r>
          </w:p>
        </w:tc>
        <w:tc>
          <w:tcPr>
            <w:tcW w:w="3040" w:type="dxa"/>
            <w:vAlign w:val="bottom"/>
          </w:tcPr>
          <w:p w:rsidR="007D3C63" w:rsidRPr="001B46EC" w:rsidRDefault="00DB4524" w:rsidP="00DB4524">
            <w:pPr>
              <w:jc w:val="center"/>
              <w:rPr>
                <w:rFonts w:ascii="Times New Roman" w:hAnsi="Times New Roman"/>
                <w:sz w:val="22"/>
                <w:szCs w:val="22"/>
              </w:rPr>
            </w:pPr>
            <w:r w:rsidRPr="001B46EC">
              <w:rPr>
                <w:rFonts w:ascii="Times New Roman" w:hAnsi="Times New Roman"/>
                <w:sz w:val="22"/>
                <w:szCs w:val="22"/>
              </w:rPr>
              <w:t>D</w:t>
            </w:r>
            <w:r w:rsidR="007D3C63" w:rsidRPr="001B46EC">
              <w:rPr>
                <w:rFonts w:ascii="Times New Roman" w:hAnsi="Times New Roman"/>
                <w:sz w:val="22"/>
                <w:szCs w:val="22"/>
              </w:rPr>
              <w:t>escription</w:t>
            </w:r>
          </w:p>
        </w:tc>
        <w:tc>
          <w:tcPr>
            <w:tcW w:w="4050" w:type="dxa"/>
            <w:vAlign w:val="bottom"/>
          </w:tcPr>
          <w:p w:rsidR="007D3C63" w:rsidRPr="001B46EC" w:rsidRDefault="00DB4524" w:rsidP="00006CE7">
            <w:pPr>
              <w:ind w:left="320" w:hanging="320"/>
              <w:jc w:val="center"/>
              <w:rPr>
                <w:rFonts w:ascii="Times New Roman" w:hAnsi="Times New Roman"/>
                <w:b/>
                <w:sz w:val="22"/>
                <w:szCs w:val="22"/>
                <w:lang w:val="en-GB"/>
              </w:rPr>
            </w:pPr>
            <w:r w:rsidRPr="001B46EC">
              <w:rPr>
                <w:rFonts w:ascii="Times New Roman" w:hAnsi="Times New Roman"/>
                <w:sz w:val="22"/>
                <w:szCs w:val="22"/>
              </w:rPr>
              <w:t>D</w:t>
            </w:r>
            <w:r w:rsidR="007D3C63" w:rsidRPr="001B46EC">
              <w:rPr>
                <w:rFonts w:ascii="Times New Roman" w:hAnsi="Times New Roman"/>
                <w:sz w:val="22"/>
                <w:szCs w:val="22"/>
              </w:rPr>
              <w:t>escription</w:t>
            </w:r>
          </w:p>
        </w:tc>
        <w:tc>
          <w:tcPr>
            <w:tcW w:w="1134" w:type="dxa"/>
            <w:vAlign w:val="bottom"/>
          </w:tcPr>
          <w:p w:rsidR="007D3C63" w:rsidRPr="001B46EC" w:rsidRDefault="007D3C63"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GMC*</w:t>
            </w:r>
          </w:p>
          <w:p w:rsidR="007D3C63" w:rsidRPr="001B46EC" w:rsidRDefault="00D953F2"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Y/N</w:t>
            </w:r>
          </w:p>
        </w:tc>
        <w:tc>
          <w:tcPr>
            <w:tcW w:w="952" w:type="dxa"/>
            <w:vAlign w:val="bottom"/>
          </w:tcPr>
          <w:p w:rsidR="007D3C63" w:rsidRPr="001B46EC" w:rsidRDefault="007D3C63"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COO**</w:t>
            </w:r>
          </w:p>
          <w:p w:rsidR="00D953F2" w:rsidRPr="001B46EC" w:rsidRDefault="00D953F2"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Y/N</w:t>
            </w:r>
          </w:p>
        </w:tc>
        <w:tc>
          <w:tcPr>
            <w:tcW w:w="1118" w:type="dxa"/>
            <w:gridSpan w:val="2"/>
            <w:vAlign w:val="bottom"/>
          </w:tcPr>
          <w:p w:rsidR="007D3C63" w:rsidRPr="001B46EC" w:rsidRDefault="007D3C63"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COA***</w:t>
            </w:r>
          </w:p>
          <w:p w:rsidR="00D953F2" w:rsidRPr="001B46EC" w:rsidRDefault="00D953F2" w:rsidP="001B46EC">
            <w:pPr>
              <w:spacing w:before="0" w:after="0"/>
              <w:jc w:val="center"/>
              <w:rPr>
                <w:rFonts w:ascii="Times New Roman" w:hAnsi="Times New Roman"/>
                <w:b/>
                <w:sz w:val="22"/>
                <w:szCs w:val="22"/>
                <w:lang w:val="en-GB"/>
              </w:rPr>
            </w:pPr>
            <w:r w:rsidRPr="001B46EC">
              <w:rPr>
                <w:rFonts w:ascii="Times New Roman" w:hAnsi="Times New Roman"/>
                <w:b/>
                <w:sz w:val="22"/>
                <w:szCs w:val="22"/>
                <w:lang w:val="en-GB"/>
              </w:rPr>
              <w:t>Y/N</w:t>
            </w: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tabs>
                <w:tab w:val="left" w:pos="729"/>
              </w:tabs>
              <w:jc w:val="cente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highlight w:val="green"/>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1</w:t>
            </w:r>
          </w:p>
        </w:tc>
        <w:tc>
          <w:tcPr>
            <w:tcW w:w="3040" w:type="dxa"/>
            <w:vAlign w:val="center"/>
          </w:tcPr>
          <w:p w:rsidR="00006CE7" w:rsidRPr="00807D20" w:rsidRDefault="007D3C63" w:rsidP="007D3C63">
            <w:pPr>
              <w:spacing w:before="0" w:after="0"/>
              <w:rPr>
                <w:rFonts w:ascii="Times New Roman" w:hAnsi="Times New Roman"/>
                <w:sz w:val="22"/>
                <w:szCs w:val="22"/>
              </w:rPr>
            </w:pPr>
            <w:r w:rsidRPr="00C45BD3">
              <w:rPr>
                <w:rFonts w:ascii="Times New Roman" w:hAnsi="Times New Roman"/>
                <w:sz w:val="22"/>
                <w:szCs w:val="22"/>
              </w:rPr>
              <w:t>Amoxacilline 500</w:t>
            </w:r>
            <w:r w:rsidR="00006CE7" w:rsidRPr="00C45BD3">
              <w:rPr>
                <w:rFonts w:ascii="Times New Roman" w:hAnsi="Times New Roman"/>
                <w:sz w:val="22"/>
                <w:szCs w:val="22"/>
              </w:rPr>
              <w:t xml:space="preserve"> </w:t>
            </w:r>
            <w:r w:rsidRPr="00C45BD3">
              <w:rPr>
                <w:rFonts w:ascii="Times New Roman" w:hAnsi="Times New Roman"/>
                <w:sz w:val="22"/>
                <w:szCs w:val="22"/>
              </w:rPr>
              <w:t>mg table</w:t>
            </w:r>
            <w:r w:rsidR="00006CE7" w:rsidRPr="00C45BD3">
              <w:rPr>
                <w:rFonts w:ascii="Times New Roman" w:hAnsi="Times New Roman"/>
                <w:sz w:val="22"/>
                <w:szCs w:val="22"/>
              </w:rPr>
              <w:t>t</w:t>
            </w:r>
          </w:p>
          <w:p w:rsidR="007D3C63" w:rsidRPr="00807D20" w:rsidRDefault="00006CE7" w:rsidP="007D3C63">
            <w:pPr>
              <w:spacing w:before="0" w:after="0"/>
              <w:rPr>
                <w:rFonts w:ascii="Times New Roman" w:hAnsi="Times New Roman"/>
                <w:sz w:val="22"/>
                <w:szCs w:val="22"/>
              </w:rPr>
            </w:pPr>
            <w:r w:rsidRPr="00807D20">
              <w:rPr>
                <w:rFonts w:ascii="Times New Roman" w:hAnsi="Times New Roman"/>
                <w:sz w:val="22"/>
                <w:szCs w:val="22"/>
              </w:rPr>
              <w:t>Boxes</w:t>
            </w:r>
            <w:r w:rsidR="007D3C63" w:rsidRPr="00807D20">
              <w:rPr>
                <w:rFonts w:ascii="Times New Roman" w:hAnsi="Times New Roman"/>
                <w:sz w:val="22"/>
                <w:szCs w:val="22"/>
              </w:rPr>
              <w:t xml:space="preserve"> of 10 X 10</w:t>
            </w:r>
          </w:p>
          <w:p w:rsidR="007D3C63" w:rsidRPr="00807D20" w:rsidRDefault="00D90051" w:rsidP="00006CE7">
            <w:pPr>
              <w:spacing w:before="0" w:after="0"/>
              <w:rPr>
                <w:rFonts w:ascii="Times New Roman" w:hAnsi="Times New Roman"/>
                <w:sz w:val="22"/>
                <w:szCs w:val="22"/>
              </w:rPr>
            </w:pPr>
            <w:r w:rsidRPr="00807D20">
              <w:rPr>
                <w:rFonts w:ascii="Times New Roman" w:hAnsi="Times New Roman"/>
                <w:sz w:val="22"/>
                <w:szCs w:val="22"/>
              </w:rPr>
              <w:t xml:space="preserve">Quantity </w:t>
            </w:r>
            <w:r w:rsidR="00715AD3" w:rsidRPr="00807D20">
              <w:rPr>
                <w:rFonts w:ascii="Times New Roman" w:hAnsi="Times New Roman"/>
                <w:sz w:val="22"/>
                <w:szCs w:val="22"/>
              </w:rPr>
              <w:t xml:space="preserve"> 2.2</w:t>
            </w:r>
            <w:r w:rsidR="00006CE7" w:rsidRPr="00807D20">
              <w:rPr>
                <w:rFonts w:ascii="Times New Roman" w:hAnsi="Times New Roman"/>
                <w:sz w:val="22"/>
                <w:szCs w:val="22"/>
              </w:rPr>
              <w:t>5</w:t>
            </w:r>
            <w:r w:rsidR="00715AD3" w:rsidRPr="00807D20">
              <w:rPr>
                <w:rFonts w:ascii="Times New Roman" w:hAnsi="Times New Roman"/>
                <w:sz w:val="22"/>
                <w:szCs w:val="22"/>
              </w:rPr>
              <w:t>0</w:t>
            </w:r>
            <w:r w:rsidR="00006CE7" w:rsidRPr="00807D20">
              <w:rPr>
                <w:rFonts w:ascii="Times New Roman" w:hAnsi="Times New Roman"/>
                <w:sz w:val="22"/>
                <w:szCs w:val="22"/>
              </w:rPr>
              <w:t xml:space="preserve"> Boxes</w:t>
            </w:r>
          </w:p>
          <w:p w:rsidR="00006CE7" w:rsidRPr="00807D20" w:rsidRDefault="00807D20" w:rsidP="00715AD3">
            <w:pPr>
              <w:spacing w:before="0" w:after="0"/>
              <w:rPr>
                <w:rFonts w:ascii="Times New Roman" w:hAnsi="Times New Roman"/>
                <w:sz w:val="22"/>
                <w:szCs w:val="22"/>
              </w:rPr>
            </w:pPr>
            <w:r w:rsidRPr="00807D20">
              <w:rPr>
                <w:rFonts w:ascii="Times New Roman" w:hAnsi="Times New Roman"/>
                <w:sz w:val="22"/>
                <w:szCs w:val="22"/>
              </w:rPr>
              <w:t>M</w:t>
            </w:r>
            <w:r w:rsidR="00715AD3" w:rsidRPr="00807D20">
              <w:rPr>
                <w:rFonts w:ascii="Times New Roman" w:hAnsi="Times New Roman"/>
                <w:sz w:val="22"/>
                <w:szCs w:val="22"/>
              </w:rPr>
              <w:t>ore than 12 months</w:t>
            </w:r>
            <w:r w:rsidRPr="00807D20">
              <w:rPr>
                <w:rFonts w:ascii="Times New Roman" w:hAnsi="Times New Roman"/>
                <w:sz w:val="22"/>
                <w:szCs w:val="22"/>
              </w:rPr>
              <w:t xml:space="preserve"> validity</w:t>
            </w:r>
          </w:p>
        </w:tc>
        <w:tc>
          <w:tcPr>
            <w:tcW w:w="4050" w:type="dxa"/>
          </w:tcPr>
          <w:p w:rsidR="007D3C63" w:rsidRPr="001B46EC" w:rsidRDefault="007D3C63" w:rsidP="00301346">
            <w:pPr>
              <w:rPr>
                <w:rFonts w:ascii="Times New Roman" w:hAnsi="Times New Roman"/>
                <w:sz w:val="22"/>
                <w:szCs w:val="22"/>
                <w:lang w:val="en-GB"/>
              </w:rPr>
            </w:pPr>
          </w:p>
        </w:tc>
        <w:tc>
          <w:tcPr>
            <w:tcW w:w="1134" w:type="dxa"/>
          </w:tcPr>
          <w:p w:rsidR="007D3C63" w:rsidRPr="001B46EC" w:rsidRDefault="007D3C63" w:rsidP="00301346">
            <w:pPr>
              <w:rPr>
                <w:rFonts w:ascii="Times New Roman" w:hAnsi="Times New Roman"/>
                <w:sz w:val="22"/>
                <w:szCs w:val="22"/>
                <w:lang w:val="en-GB"/>
              </w:rPr>
            </w:pPr>
          </w:p>
        </w:tc>
        <w:tc>
          <w:tcPr>
            <w:tcW w:w="952" w:type="dxa"/>
          </w:tcPr>
          <w:p w:rsidR="007D3C63" w:rsidRPr="001B46EC" w:rsidRDefault="007D3C63" w:rsidP="00301346">
            <w:pPr>
              <w:rPr>
                <w:rFonts w:ascii="Times New Roman" w:hAnsi="Times New Roman"/>
                <w:sz w:val="22"/>
                <w:szCs w:val="22"/>
                <w:lang w:val="en-GB"/>
              </w:rPr>
            </w:pPr>
          </w:p>
        </w:tc>
        <w:tc>
          <w:tcPr>
            <w:tcW w:w="1118" w:type="dxa"/>
            <w:gridSpan w:val="2"/>
            <w:vAlign w:val="center"/>
          </w:tcPr>
          <w:p w:rsidR="007D3C63" w:rsidRPr="001B46EC" w:rsidRDefault="007D3C63" w:rsidP="00301346">
            <w:pPr>
              <w:rPr>
                <w:rFonts w:ascii="Times New Roman" w:hAnsi="Times New Roman"/>
                <w:sz w:val="22"/>
                <w:szCs w:val="22"/>
                <w:lang w:val="en-GB"/>
              </w:rPr>
            </w:pP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2</w:t>
            </w:r>
          </w:p>
        </w:tc>
        <w:tc>
          <w:tcPr>
            <w:tcW w:w="3040" w:type="dxa"/>
            <w:vAlign w:val="center"/>
          </w:tcPr>
          <w:p w:rsidR="00006CE7" w:rsidRPr="00807D20" w:rsidRDefault="007D3C63" w:rsidP="00006CE7">
            <w:pPr>
              <w:spacing w:before="0" w:after="0"/>
              <w:rPr>
                <w:rFonts w:ascii="Times New Roman" w:hAnsi="Times New Roman"/>
                <w:sz w:val="22"/>
                <w:szCs w:val="22"/>
              </w:rPr>
            </w:pPr>
            <w:r w:rsidRPr="00807D20">
              <w:rPr>
                <w:rFonts w:ascii="Times New Roman" w:hAnsi="Times New Roman"/>
                <w:sz w:val="22"/>
                <w:szCs w:val="22"/>
              </w:rPr>
              <w:t>Metrinda</w:t>
            </w:r>
            <w:r w:rsidR="00006CE7" w:rsidRPr="00807D20">
              <w:rPr>
                <w:rFonts w:ascii="Times New Roman" w:hAnsi="Times New Roman"/>
                <w:sz w:val="22"/>
                <w:szCs w:val="22"/>
              </w:rPr>
              <w:t>z</w:t>
            </w:r>
            <w:r w:rsidR="00F169AE">
              <w:rPr>
                <w:rFonts w:ascii="Times New Roman" w:hAnsi="Times New Roman"/>
                <w:sz w:val="22"/>
                <w:szCs w:val="22"/>
              </w:rPr>
              <w:t>ole 25</w:t>
            </w:r>
            <w:r w:rsidRPr="00807D20">
              <w:rPr>
                <w:rFonts w:ascii="Times New Roman" w:hAnsi="Times New Roman"/>
                <w:sz w:val="22"/>
                <w:szCs w:val="22"/>
              </w:rPr>
              <w:t>0</w:t>
            </w:r>
            <w:r w:rsidR="00724B35">
              <w:rPr>
                <w:rFonts w:ascii="Times New Roman" w:hAnsi="Times New Roman"/>
                <w:sz w:val="22"/>
                <w:szCs w:val="22"/>
              </w:rPr>
              <w:t xml:space="preserve"> </w:t>
            </w:r>
            <w:r w:rsidRPr="00807D20">
              <w:rPr>
                <w:rFonts w:ascii="Times New Roman" w:hAnsi="Times New Roman"/>
                <w:sz w:val="22"/>
                <w:szCs w:val="22"/>
              </w:rPr>
              <w:t>mg capsul</w:t>
            </w:r>
            <w:r w:rsidR="00006CE7" w:rsidRPr="00807D20">
              <w:rPr>
                <w:rFonts w:ascii="Times New Roman" w:hAnsi="Times New Roman"/>
                <w:sz w:val="22"/>
                <w:szCs w:val="22"/>
              </w:rPr>
              <w:t>es</w:t>
            </w:r>
          </w:p>
          <w:p w:rsidR="007D3C63"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Boxes</w:t>
            </w:r>
            <w:r w:rsidR="007D3C63" w:rsidRPr="00807D20">
              <w:rPr>
                <w:rFonts w:ascii="Times New Roman" w:hAnsi="Times New Roman"/>
                <w:sz w:val="22"/>
                <w:szCs w:val="22"/>
              </w:rPr>
              <w:t xml:space="preserve"> of 100  X 10</w:t>
            </w:r>
          </w:p>
          <w:p w:rsidR="00D90051" w:rsidRPr="00807D20" w:rsidRDefault="00715AD3" w:rsidP="00006CE7">
            <w:pPr>
              <w:spacing w:before="0" w:after="0"/>
              <w:rPr>
                <w:rFonts w:ascii="Times New Roman" w:hAnsi="Times New Roman"/>
                <w:sz w:val="22"/>
                <w:szCs w:val="22"/>
              </w:rPr>
            </w:pPr>
            <w:r w:rsidRPr="00807D20">
              <w:rPr>
                <w:rFonts w:ascii="Times New Roman" w:hAnsi="Times New Roman"/>
                <w:sz w:val="22"/>
                <w:szCs w:val="22"/>
              </w:rPr>
              <w:t>Quantity 100</w:t>
            </w:r>
            <w:r w:rsidR="00006CE7" w:rsidRPr="00807D20">
              <w:rPr>
                <w:rFonts w:ascii="Times New Roman" w:hAnsi="Times New Roman"/>
                <w:sz w:val="22"/>
                <w:szCs w:val="22"/>
              </w:rPr>
              <w:t xml:space="preserve"> Boxes</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807D20" w:rsidRDefault="007D3C63" w:rsidP="00301346">
            <w:pPr>
              <w:rPr>
                <w:rFonts w:ascii="Times New Roman" w:hAnsi="Times New Roman"/>
                <w:sz w:val="22"/>
                <w:szCs w:val="22"/>
                <w:lang w:val="en-GB"/>
              </w:rPr>
            </w:pPr>
          </w:p>
        </w:tc>
        <w:tc>
          <w:tcPr>
            <w:tcW w:w="1134" w:type="dxa"/>
          </w:tcPr>
          <w:p w:rsidR="007D3C63" w:rsidRPr="00807D20" w:rsidRDefault="007D3C63" w:rsidP="00301346">
            <w:pPr>
              <w:rPr>
                <w:rFonts w:ascii="Times New Roman" w:hAnsi="Times New Roman"/>
                <w:sz w:val="22"/>
                <w:szCs w:val="22"/>
                <w:lang w:val="en-GB"/>
              </w:rPr>
            </w:pPr>
          </w:p>
        </w:tc>
        <w:tc>
          <w:tcPr>
            <w:tcW w:w="952" w:type="dxa"/>
          </w:tcPr>
          <w:p w:rsidR="007D3C63" w:rsidRPr="00807D20" w:rsidRDefault="007D3C63" w:rsidP="00301346">
            <w:pPr>
              <w:rPr>
                <w:rFonts w:ascii="Times New Roman" w:hAnsi="Times New Roman"/>
                <w:sz w:val="22"/>
                <w:szCs w:val="22"/>
                <w:lang w:val="en-GB"/>
              </w:rPr>
            </w:pPr>
          </w:p>
        </w:tc>
        <w:tc>
          <w:tcPr>
            <w:tcW w:w="1118" w:type="dxa"/>
            <w:gridSpan w:val="2"/>
            <w:vAlign w:val="center"/>
          </w:tcPr>
          <w:p w:rsidR="007D3C63" w:rsidRPr="00807D20" w:rsidRDefault="007D3C63" w:rsidP="00301346">
            <w:pPr>
              <w:rPr>
                <w:rFonts w:ascii="Times New Roman" w:hAnsi="Times New Roman"/>
                <w:b/>
                <w:sz w:val="22"/>
                <w:szCs w:val="22"/>
                <w:lang w:val="en-GB"/>
              </w:rPr>
            </w:pPr>
            <w:r w:rsidRPr="00807D20">
              <w:rPr>
                <w:rFonts w:ascii="Times New Roman" w:hAnsi="Times New Roman"/>
                <w:sz w:val="22"/>
                <w:szCs w:val="22"/>
                <w:lang w:val="en-GB"/>
              </w:rPr>
              <w:t xml:space="preserve"> </w:t>
            </w:r>
          </w:p>
        </w:tc>
        <w:tc>
          <w:tcPr>
            <w:tcW w:w="2244" w:type="dxa"/>
          </w:tcPr>
          <w:p w:rsidR="007D3C63" w:rsidRPr="00807D20" w:rsidRDefault="007D3C63" w:rsidP="00301346">
            <w:pPr>
              <w:rPr>
                <w:rFonts w:ascii="Times New Roman" w:hAnsi="Times New Roman"/>
                <w:b/>
                <w:sz w:val="22"/>
                <w:szCs w:val="22"/>
                <w:lang w:val="en-GB"/>
              </w:rPr>
            </w:pPr>
          </w:p>
        </w:tc>
        <w:tc>
          <w:tcPr>
            <w:tcW w:w="2126" w:type="dxa"/>
          </w:tcPr>
          <w:p w:rsidR="007D3C63" w:rsidRPr="00807D20" w:rsidRDefault="007D3C63" w:rsidP="00301346">
            <w:pP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3</w:t>
            </w:r>
          </w:p>
        </w:tc>
        <w:tc>
          <w:tcPr>
            <w:tcW w:w="3040" w:type="dxa"/>
            <w:vAlign w:val="center"/>
          </w:tcPr>
          <w:p w:rsidR="00006CE7" w:rsidRPr="00807D20" w:rsidRDefault="007D3C63" w:rsidP="00006CE7">
            <w:pPr>
              <w:spacing w:before="0" w:after="0"/>
              <w:rPr>
                <w:rFonts w:ascii="Times New Roman" w:hAnsi="Times New Roman"/>
                <w:sz w:val="22"/>
                <w:szCs w:val="22"/>
              </w:rPr>
            </w:pPr>
            <w:r w:rsidRPr="00807D20">
              <w:rPr>
                <w:rFonts w:ascii="Times New Roman" w:hAnsi="Times New Roman"/>
                <w:sz w:val="22"/>
                <w:szCs w:val="22"/>
              </w:rPr>
              <w:t>Ciprofloxaciline 500mg tablet</w:t>
            </w:r>
            <w:r w:rsidR="00006CE7" w:rsidRPr="00807D20">
              <w:rPr>
                <w:rFonts w:ascii="Times New Roman" w:hAnsi="Times New Roman"/>
                <w:sz w:val="22"/>
                <w:szCs w:val="22"/>
              </w:rPr>
              <w:t>s</w:t>
            </w:r>
            <w:r w:rsidRPr="00807D20">
              <w:rPr>
                <w:rFonts w:ascii="Times New Roman" w:hAnsi="Times New Roman"/>
                <w:sz w:val="22"/>
                <w:szCs w:val="22"/>
              </w:rPr>
              <w:t xml:space="preserve"> </w:t>
            </w:r>
          </w:p>
          <w:p w:rsidR="007D3C63"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 xml:space="preserve">Packets </w:t>
            </w:r>
            <w:r w:rsidR="007D3C63" w:rsidRPr="00807D20">
              <w:rPr>
                <w:rFonts w:ascii="Times New Roman" w:hAnsi="Times New Roman"/>
                <w:sz w:val="22"/>
                <w:szCs w:val="22"/>
              </w:rPr>
              <w:t>of 10 X 10</w:t>
            </w:r>
          </w:p>
          <w:p w:rsidR="00D90051" w:rsidRPr="00807D20" w:rsidRDefault="00715AD3" w:rsidP="00006CE7">
            <w:pPr>
              <w:spacing w:before="0" w:after="0"/>
              <w:rPr>
                <w:rFonts w:ascii="Times New Roman" w:hAnsi="Times New Roman"/>
                <w:sz w:val="22"/>
                <w:szCs w:val="22"/>
              </w:rPr>
            </w:pPr>
            <w:r w:rsidRPr="00807D20">
              <w:rPr>
                <w:rFonts w:ascii="Times New Roman" w:hAnsi="Times New Roman"/>
                <w:sz w:val="22"/>
                <w:szCs w:val="22"/>
              </w:rPr>
              <w:t>Quantity 1.130</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1B46EC" w:rsidRDefault="007D3C63" w:rsidP="00301346">
            <w:pPr>
              <w:rPr>
                <w:rFonts w:ascii="Times New Roman" w:hAnsi="Times New Roman"/>
                <w:sz w:val="22"/>
                <w:szCs w:val="22"/>
                <w:lang w:val="en-GB"/>
              </w:rPr>
            </w:pPr>
            <w:bookmarkStart w:id="1" w:name="_GoBack"/>
            <w:bookmarkEnd w:id="1"/>
          </w:p>
        </w:tc>
        <w:tc>
          <w:tcPr>
            <w:tcW w:w="1134" w:type="dxa"/>
          </w:tcPr>
          <w:p w:rsidR="007D3C63" w:rsidRPr="001B46EC" w:rsidRDefault="007D3C63" w:rsidP="00301346">
            <w:pPr>
              <w:rPr>
                <w:rFonts w:ascii="Times New Roman" w:hAnsi="Times New Roman"/>
                <w:sz w:val="22"/>
                <w:szCs w:val="22"/>
                <w:lang w:val="en-GB"/>
              </w:rPr>
            </w:pPr>
          </w:p>
        </w:tc>
        <w:tc>
          <w:tcPr>
            <w:tcW w:w="952" w:type="dxa"/>
          </w:tcPr>
          <w:p w:rsidR="007D3C63" w:rsidRPr="001B46EC" w:rsidRDefault="007D3C63" w:rsidP="00301346">
            <w:pPr>
              <w:rPr>
                <w:rFonts w:ascii="Times New Roman" w:hAnsi="Times New Roman"/>
                <w:sz w:val="22"/>
                <w:szCs w:val="22"/>
                <w:lang w:val="en-GB"/>
              </w:rPr>
            </w:pPr>
          </w:p>
        </w:tc>
        <w:tc>
          <w:tcPr>
            <w:tcW w:w="1118" w:type="dxa"/>
            <w:gridSpan w:val="2"/>
          </w:tcPr>
          <w:p w:rsidR="007D3C63" w:rsidRPr="001B46EC" w:rsidRDefault="007D3C63" w:rsidP="00301346">
            <w:pPr>
              <w:rPr>
                <w:rFonts w:ascii="Times New Roman" w:hAnsi="Times New Roman"/>
                <w:b/>
                <w:sz w:val="22"/>
                <w:szCs w:val="22"/>
                <w:lang w:val="en-GB"/>
              </w:rPr>
            </w:pPr>
            <w:r w:rsidRPr="001B46EC">
              <w:rPr>
                <w:rFonts w:ascii="Times New Roman" w:hAnsi="Times New Roman"/>
                <w:sz w:val="22"/>
                <w:szCs w:val="22"/>
                <w:lang w:val="en-GB"/>
              </w:rPr>
              <w:t xml:space="preserve"> </w:t>
            </w: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4</w:t>
            </w:r>
          </w:p>
        </w:tc>
        <w:tc>
          <w:tcPr>
            <w:tcW w:w="3040" w:type="dxa"/>
            <w:vAlign w:val="center"/>
          </w:tcPr>
          <w:p w:rsidR="00006CE7"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 xml:space="preserve">Ibuprofen 400 mg tablets </w:t>
            </w:r>
          </w:p>
          <w:p w:rsidR="00006CE7"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Packets of</w:t>
            </w:r>
            <w:r w:rsidR="00715AD3" w:rsidRPr="00807D20">
              <w:rPr>
                <w:rFonts w:ascii="Times New Roman" w:hAnsi="Times New Roman"/>
                <w:sz w:val="22"/>
                <w:szCs w:val="22"/>
              </w:rPr>
              <w:t xml:space="preserve"> 10 X10</w:t>
            </w:r>
          </w:p>
          <w:p w:rsidR="00807D20"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Quantity 1,</w:t>
            </w:r>
            <w:r w:rsidR="00715AD3" w:rsidRPr="00807D20">
              <w:rPr>
                <w:rFonts w:ascii="Times New Roman" w:hAnsi="Times New Roman"/>
                <w:sz w:val="22"/>
                <w:szCs w:val="22"/>
              </w:rPr>
              <w:t>500</w:t>
            </w:r>
            <w:r w:rsidRPr="00807D20">
              <w:rPr>
                <w:rFonts w:ascii="Times New Roman" w:hAnsi="Times New Roman"/>
                <w:sz w:val="22"/>
                <w:szCs w:val="22"/>
              </w:rPr>
              <w:t xml:space="preserve"> èpacketws</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1B46EC" w:rsidRDefault="007D3C63" w:rsidP="00301346">
            <w:pPr>
              <w:rPr>
                <w:rFonts w:ascii="Times New Roman" w:hAnsi="Times New Roman"/>
                <w:b/>
                <w:sz w:val="22"/>
                <w:szCs w:val="22"/>
                <w:lang w:val="en-GB"/>
              </w:rPr>
            </w:pPr>
          </w:p>
        </w:tc>
        <w:tc>
          <w:tcPr>
            <w:tcW w:w="1134" w:type="dxa"/>
          </w:tcPr>
          <w:p w:rsidR="007D3C63" w:rsidRPr="001B46EC" w:rsidRDefault="007D3C63" w:rsidP="00301346">
            <w:pPr>
              <w:rPr>
                <w:rFonts w:ascii="Times New Roman" w:hAnsi="Times New Roman"/>
                <w:b/>
                <w:sz w:val="22"/>
                <w:szCs w:val="22"/>
                <w:lang w:val="en-GB"/>
              </w:rPr>
            </w:pPr>
          </w:p>
        </w:tc>
        <w:tc>
          <w:tcPr>
            <w:tcW w:w="952" w:type="dxa"/>
          </w:tcPr>
          <w:p w:rsidR="007D3C63" w:rsidRPr="001B46EC" w:rsidRDefault="007D3C63" w:rsidP="00301346">
            <w:pPr>
              <w:rPr>
                <w:rFonts w:ascii="Times New Roman" w:hAnsi="Times New Roman"/>
                <w:b/>
                <w:sz w:val="22"/>
                <w:szCs w:val="22"/>
                <w:lang w:val="en-GB"/>
              </w:rPr>
            </w:pPr>
          </w:p>
        </w:tc>
        <w:tc>
          <w:tcPr>
            <w:tcW w:w="1118" w:type="dxa"/>
            <w:gridSpan w:val="2"/>
          </w:tcPr>
          <w:p w:rsidR="007D3C63" w:rsidRPr="001B46EC" w:rsidRDefault="007D3C63" w:rsidP="00301346">
            <w:pPr>
              <w:rPr>
                <w:rFonts w:ascii="Times New Roman" w:hAnsi="Times New Roman"/>
                <w:b/>
                <w:sz w:val="22"/>
                <w:szCs w:val="22"/>
                <w:lang w:val="en-GB"/>
              </w:rPr>
            </w:pP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tabs>
                <w:tab w:val="left" w:pos="729"/>
              </w:tabs>
              <w:jc w:val="cente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5</w:t>
            </w:r>
          </w:p>
        </w:tc>
        <w:tc>
          <w:tcPr>
            <w:tcW w:w="3040" w:type="dxa"/>
            <w:vAlign w:val="center"/>
          </w:tcPr>
          <w:p w:rsidR="00006CE7" w:rsidRPr="00807D20" w:rsidRDefault="007D3C63" w:rsidP="00006CE7">
            <w:pPr>
              <w:spacing w:before="0" w:after="0"/>
              <w:rPr>
                <w:rFonts w:ascii="Times New Roman" w:hAnsi="Times New Roman"/>
                <w:sz w:val="22"/>
                <w:szCs w:val="22"/>
              </w:rPr>
            </w:pPr>
            <w:r w:rsidRPr="00807D20">
              <w:rPr>
                <w:rFonts w:ascii="Times New Roman" w:hAnsi="Times New Roman"/>
                <w:sz w:val="22"/>
                <w:szCs w:val="22"/>
              </w:rPr>
              <w:t>Co-trimozazole 480</w:t>
            </w:r>
            <w:r w:rsidR="00715AD3" w:rsidRPr="00807D20">
              <w:rPr>
                <w:rFonts w:ascii="Times New Roman" w:hAnsi="Times New Roman"/>
                <w:sz w:val="22"/>
                <w:szCs w:val="22"/>
              </w:rPr>
              <w:t xml:space="preserve"> </w:t>
            </w:r>
            <w:r w:rsidRPr="00807D20">
              <w:rPr>
                <w:rFonts w:ascii="Times New Roman" w:hAnsi="Times New Roman"/>
                <w:sz w:val="22"/>
                <w:szCs w:val="22"/>
              </w:rPr>
              <w:t>mg tablet</w:t>
            </w:r>
            <w:r w:rsidR="00006CE7" w:rsidRPr="00807D20">
              <w:rPr>
                <w:rFonts w:ascii="Times New Roman" w:hAnsi="Times New Roman"/>
                <w:sz w:val="22"/>
                <w:szCs w:val="22"/>
              </w:rPr>
              <w:t>s</w:t>
            </w:r>
          </w:p>
          <w:p w:rsidR="007D3C63"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Boxes</w:t>
            </w:r>
            <w:r w:rsidR="007D3C63" w:rsidRPr="00807D20">
              <w:rPr>
                <w:rFonts w:ascii="Times New Roman" w:hAnsi="Times New Roman"/>
                <w:sz w:val="22"/>
                <w:szCs w:val="22"/>
              </w:rPr>
              <w:t xml:space="preserve"> of 10 X 10</w:t>
            </w:r>
          </w:p>
          <w:p w:rsidR="00D90051"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Quantity1,</w:t>
            </w:r>
            <w:r w:rsidR="00715AD3" w:rsidRPr="00807D20">
              <w:rPr>
                <w:rFonts w:ascii="Times New Roman" w:hAnsi="Times New Roman"/>
                <w:sz w:val="22"/>
                <w:szCs w:val="22"/>
              </w:rPr>
              <w:t>250</w:t>
            </w:r>
            <w:r w:rsidRPr="00807D20">
              <w:rPr>
                <w:rFonts w:ascii="Times New Roman" w:hAnsi="Times New Roman"/>
                <w:sz w:val="22"/>
                <w:szCs w:val="22"/>
              </w:rPr>
              <w:t xml:space="preserve"> boxes</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1B46EC" w:rsidRDefault="007D3C63" w:rsidP="00301346">
            <w:pPr>
              <w:rPr>
                <w:rFonts w:ascii="Times New Roman" w:hAnsi="Times New Roman"/>
                <w:b/>
                <w:sz w:val="22"/>
                <w:szCs w:val="22"/>
                <w:lang w:val="en-GB"/>
              </w:rPr>
            </w:pPr>
          </w:p>
        </w:tc>
        <w:tc>
          <w:tcPr>
            <w:tcW w:w="1134" w:type="dxa"/>
          </w:tcPr>
          <w:p w:rsidR="007D3C63" w:rsidRPr="001B46EC" w:rsidRDefault="007D3C63" w:rsidP="00301346">
            <w:pPr>
              <w:rPr>
                <w:rFonts w:ascii="Times New Roman" w:hAnsi="Times New Roman"/>
                <w:b/>
                <w:sz w:val="22"/>
                <w:szCs w:val="22"/>
                <w:lang w:val="en-GB"/>
              </w:rPr>
            </w:pPr>
          </w:p>
        </w:tc>
        <w:tc>
          <w:tcPr>
            <w:tcW w:w="952" w:type="dxa"/>
          </w:tcPr>
          <w:p w:rsidR="007D3C63" w:rsidRPr="001B46EC" w:rsidRDefault="007D3C63" w:rsidP="00301346">
            <w:pPr>
              <w:rPr>
                <w:rFonts w:ascii="Times New Roman" w:hAnsi="Times New Roman"/>
                <w:b/>
                <w:sz w:val="22"/>
                <w:szCs w:val="22"/>
                <w:lang w:val="en-GB"/>
              </w:rPr>
            </w:pPr>
          </w:p>
        </w:tc>
        <w:tc>
          <w:tcPr>
            <w:tcW w:w="1118" w:type="dxa"/>
            <w:gridSpan w:val="2"/>
          </w:tcPr>
          <w:p w:rsidR="007D3C63" w:rsidRPr="001B46EC" w:rsidRDefault="007D3C63" w:rsidP="00301346">
            <w:pPr>
              <w:rPr>
                <w:rFonts w:ascii="Times New Roman" w:hAnsi="Times New Roman"/>
                <w:b/>
                <w:sz w:val="22"/>
                <w:szCs w:val="22"/>
                <w:lang w:val="en-GB"/>
              </w:rPr>
            </w:pP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tabs>
                <w:tab w:val="left" w:pos="729"/>
              </w:tabs>
              <w:jc w:val="cente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6</w:t>
            </w:r>
          </w:p>
        </w:tc>
        <w:tc>
          <w:tcPr>
            <w:tcW w:w="3040" w:type="dxa"/>
            <w:vAlign w:val="center"/>
          </w:tcPr>
          <w:p w:rsidR="007D3C63"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C</w:t>
            </w:r>
            <w:r w:rsidR="007D3C63" w:rsidRPr="00807D20">
              <w:rPr>
                <w:rFonts w:ascii="Times New Roman" w:hAnsi="Times New Roman"/>
                <w:sz w:val="22"/>
                <w:szCs w:val="22"/>
              </w:rPr>
              <w:t>o-trimoxazele 240 mg/5ml</w:t>
            </w:r>
          </w:p>
          <w:p w:rsidR="00006CE7"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 xml:space="preserve">Bottles of </w:t>
            </w:r>
            <w:r w:rsidR="00715AD3" w:rsidRPr="00807D20">
              <w:rPr>
                <w:rFonts w:ascii="Times New Roman" w:hAnsi="Times New Roman"/>
                <w:sz w:val="22"/>
                <w:szCs w:val="22"/>
              </w:rPr>
              <w:t>250 ml</w:t>
            </w:r>
          </w:p>
          <w:p w:rsidR="00D90051" w:rsidRPr="00807D20" w:rsidRDefault="00715AD3" w:rsidP="00006CE7">
            <w:pPr>
              <w:spacing w:before="0" w:after="0"/>
              <w:rPr>
                <w:rFonts w:ascii="Times New Roman" w:hAnsi="Times New Roman"/>
                <w:sz w:val="22"/>
                <w:szCs w:val="22"/>
              </w:rPr>
            </w:pPr>
            <w:r w:rsidRPr="00807D20">
              <w:rPr>
                <w:rFonts w:ascii="Times New Roman" w:hAnsi="Times New Roman"/>
                <w:sz w:val="22"/>
                <w:szCs w:val="22"/>
              </w:rPr>
              <w:t>Quantity 800</w:t>
            </w:r>
            <w:r w:rsidR="00807D20" w:rsidRPr="00807D20">
              <w:rPr>
                <w:rFonts w:ascii="Times New Roman" w:hAnsi="Times New Roman"/>
                <w:sz w:val="22"/>
                <w:szCs w:val="22"/>
              </w:rPr>
              <w:t xml:space="preserve"> bottles</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006CE7" w:rsidRDefault="007D3C63" w:rsidP="00301346">
            <w:pPr>
              <w:rPr>
                <w:rFonts w:ascii="Times New Roman" w:hAnsi="Times New Roman"/>
                <w:b/>
                <w:sz w:val="22"/>
                <w:szCs w:val="22"/>
                <w:lang w:val="en-GB"/>
              </w:rPr>
            </w:pPr>
          </w:p>
        </w:tc>
        <w:tc>
          <w:tcPr>
            <w:tcW w:w="1134" w:type="dxa"/>
          </w:tcPr>
          <w:p w:rsidR="007D3C63" w:rsidRPr="00006CE7" w:rsidRDefault="007D3C63" w:rsidP="00301346">
            <w:pPr>
              <w:rPr>
                <w:rFonts w:ascii="Times New Roman" w:hAnsi="Times New Roman"/>
                <w:b/>
                <w:sz w:val="22"/>
                <w:szCs w:val="22"/>
                <w:lang w:val="en-GB"/>
              </w:rPr>
            </w:pPr>
          </w:p>
        </w:tc>
        <w:tc>
          <w:tcPr>
            <w:tcW w:w="952" w:type="dxa"/>
          </w:tcPr>
          <w:p w:rsidR="007D3C63" w:rsidRPr="00006CE7" w:rsidRDefault="007D3C63" w:rsidP="00301346">
            <w:pPr>
              <w:rPr>
                <w:rFonts w:ascii="Times New Roman" w:hAnsi="Times New Roman"/>
                <w:b/>
                <w:sz w:val="22"/>
                <w:szCs w:val="22"/>
                <w:lang w:val="en-GB"/>
              </w:rPr>
            </w:pPr>
          </w:p>
        </w:tc>
        <w:tc>
          <w:tcPr>
            <w:tcW w:w="1118" w:type="dxa"/>
            <w:gridSpan w:val="2"/>
          </w:tcPr>
          <w:p w:rsidR="007D3C63" w:rsidRPr="00006CE7" w:rsidRDefault="007D3C63" w:rsidP="00301346">
            <w:pPr>
              <w:rPr>
                <w:rFonts w:ascii="Times New Roman" w:hAnsi="Times New Roman"/>
                <w:b/>
                <w:sz w:val="22"/>
                <w:szCs w:val="22"/>
                <w:lang w:val="en-GB"/>
              </w:rPr>
            </w:pPr>
          </w:p>
        </w:tc>
        <w:tc>
          <w:tcPr>
            <w:tcW w:w="2244" w:type="dxa"/>
          </w:tcPr>
          <w:p w:rsidR="007D3C63" w:rsidRPr="00006CE7" w:rsidRDefault="007D3C63" w:rsidP="00301346">
            <w:pPr>
              <w:rPr>
                <w:rFonts w:ascii="Times New Roman" w:hAnsi="Times New Roman"/>
                <w:b/>
                <w:sz w:val="22"/>
                <w:szCs w:val="22"/>
                <w:lang w:val="en-GB"/>
              </w:rPr>
            </w:pPr>
          </w:p>
        </w:tc>
        <w:tc>
          <w:tcPr>
            <w:tcW w:w="2126" w:type="dxa"/>
          </w:tcPr>
          <w:p w:rsidR="007D3C63" w:rsidRPr="00006CE7" w:rsidRDefault="007D3C63" w:rsidP="00301346">
            <w:pPr>
              <w:tabs>
                <w:tab w:val="left" w:pos="729"/>
              </w:tabs>
              <w:jc w:val="center"/>
              <w:rPr>
                <w:rFonts w:ascii="Times New Roman" w:hAnsi="Times New Roman"/>
                <w:b/>
                <w:sz w:val="22"/>
                <w:szCs w:val="22"/>
                <w:lang w:val="en-GB"/>
              </w:rPr>
            </w:pPr>
          </w:p>
        </w:tc>
      </w:tr>
      <w:tr w:rsidR="007D3C63" w:rsidRPr="001B46EC" w:rsidTr="00807D20">
        <w:trPr>
          <w:cantSplit/>
        </w:trPr>
        <w:tc>
          <w:tcPr>
            <w:tcW w:w="1056" w:type="dxa"/>
          </w:tcPr>
          <w:p w:rsidR="007D3C63" w:rsidRPr="001B46EC" w:rsidRDefault="00DB4524" w:rsidP="001B46EC">
            <w:pPr>
              <w:jc w:val="center"/>
              <w:rPr>
                <w:rFonts w:ascii="Times New Roman" w:hAnsi="Times New Roman"/>
                <w:sz w:val="22"/>
                <w:szCs w:val="22"/>
                <w:lang w:val="en-GB"/>
              </w:rPr>
            </w:pPr>
            <w:r w:rsidRPr="001B46EC">
              <w:rPr>
                <w:rFonts w:ascii="Times New Roman" w:hAnsi="Times New Roman"/>
                <w:sz w:val="22"/>
                <w:szCs w:val="22"/>
                <w:lang w:val="en-GB"/>
              </w:rPr>
              <w:t xml:space="preserve">Lot </w:t>
            </w:r>
            <w:r w:rsidR="007D3C63" w:rsidRPr="001B46EC">
              <w:rPr>
                <w:rFonts w:ascii="Times New Roman" w:hAnsi="Times New Roman"/>
                <w:sz w:val="22"/>
                <w:szCs w:val="22"/>
                <w:lang w:val="en-GB"/>
              </w:rPr>
              <w:t>7</w:t>
            </w:r>
          </w:p>
        </w:tc>
        <w:tc>
          <w:tcPr>
            <w:tcW w:w="3040" w:type="dxa"/>
            <w:vAlign w:val="center"/>
          </w:tcPr>
          <w:p w:rsidR="007D3C63" w:rsidRPr="00807D20" w:rsidRDefault="007D3C63" w:rsidP="00006CE7">
            <w:pPr>
              <w:spacing w:before="0" w:after="0"/>
              <w:rPr>
                <w:rFonts w:ascii="Times New Roman" w:hAnsi="Times New Roman"/>
                <w:sz w:val="22"/>
                <w:szCs w:val="22"/>
              </w:rPr>
            </w:pPr>
            <w:r w:rsidRPr="00807D20">
              <w:rPr>
                <w:rFonts w:ascii="Times New Roman" w:hAnsi="Times New Roman"/>
                <w:sz w:val="22"/>
                <w:szCs w:val="22"/>
              </w:rPr>
              <w:t>Amoxacilline 250mg /5ml of 100</w:t>
            </w:r>
            <w:r w:rsidR="00715AD3" w:rsidRPr="00807D20">
              <w:rPr>
                <w:rFonts w:ascii="Times New Roman" w:hAnsi="Times New Roman"/>
                <w:sz w:val="22"/>
                <w:szCs w:val="22"/>
              </w:rPr>
              <w:t xml:space="preserve"> </w:t>
            </w:r>
            <w:r w:rsidRPr="00807D20">
              <w:rPr>
                <w:rFonts w:ascii="Times New Roman" w:hAnsi="Times New Roman"/>
                <w:sz w:val="22"/>
                <w:szCs w:val="22"/>
              </w:rPr>
              <w:t>ml oral suspension syrup</w:t>
            </w:r>
          </w:p>
          <w:p w:rsidR="00006CE7"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Bottles of</w:t>
            </w:r>
            <w:r w:rsidR="00715AD3" w:rsidRPr="00807D20">
              <w:rPr>
                <w:rFonts w:ascii="Times New Roman" w:hAnsi="Times New Roman"/>
                <w:sz w:val="22"/>
                <w:szCs w:val="22"/>
              </w:rPr>
              <w:t xml:space="preserve"> 5 ml</w:t>
            </w:r>
          </w:p>
          <w:p w:rsidR="00D90051" w:rsidRPr="00807D20" w:rsidRDefault="00006CE7" w:rsidP="00006CE7">
            <w:pPr>
              <w:spacing w:before="0" w:after="0"/>
              <w:rPr>
                <w:rFonts w:ascii="Times New Roman" w:hAnsi="Times New Roman"/>
                <w:sz w:val="22"/>
                <w:szCs w:val="22"/>
              </w:rPr>
            </w:pPr>
            <w:r w:rsidRPr="00807D20">
              <w:rPr>
                <w:rFonts w:ascii="Times New Roman" w:hAnsi="Times New Roman"/>
                <w:sz w:val="22"/>
                <w:szCs w:val="22"/>
              </w:rPr>
              <w:t>Quantity 3</w:t>
            </w:r>
            <w:r w:rsidR="00807D20" w:rsidRPr="00807D20">
              <w:rPr>
                <w:rFonts w:ascii="Times New Roman" w:hAnsi="Times New Roman"/>
                <w:sz w:val="22"/>
                <w:szCs w:val="22"/>
              </w:rPr>
              <w:t>,</w:t>
            </w:r>
            <w:r w:rsidR="00D90051" w:rsidRPr="00807D20">
              <w:rPr>
                <w:rFonts w:ascii="Times New Roman" w:hAnsi="Times New Roman"/>
                <w:sz w:val="22"/>
                <w:szCs w:val="22"/>
              </w:rPr>
              <w:t>5</w:t>
            </w:r>
            <w:r w:rsidRPr="00807D20">
              <w:rPr>
                <w:rFonts w:ascii="Times New Roman" w:hAnsi="Times New Roman"/>
                <w:sz w:val="22"/>
                <w:szCs w:val="22"/>
              </w:rPr>
              <w:t>0</w:t>
            </w:r>
            <w:r w:rsidR="00D90051" w:rsidRPr="00807D20">
              <w:rPr>
                <w:rFonts w:ascii="Times New Roman" w:hAnsi="Times New Roman"/>
                <w:sz w:val="22"/>
                <w:szCs w:val="22"/>
              </w:rPr>
              <w:t>0</w:t>
            </w:r>
            <w:r w:rsidR="00807D20" w:rsidRPr="00807D20">
              <w:rPr>
                <w:rFonts w:ascii="Times New Roman" w:hAnsi="Times New Roman"/>
                <w:sz w:val="22"/>
                <w:szCs w:val="22"/>
              </w:rPr>
              <w:t xml:space="preserve"> bottles</w:t>
            </w:r>
          </w:p>
          <w:p w:rsidR="00006CE7" w:rsidRPr="00807D20" w:rsidRDefault="00807D20" w:rsidP="00006CE7">
            <w:pPr>
              <w:spacing w:before="0" w:after="0"/>
              <w:rPr>
                <w:rFonts w:ascii="Times New Roman" w:hAnsi="Times New Roman"/>
                <w:sz w:val="22"/>
                <w:szCs w:val="22"/>
              </w:rPr>
            </w:pPr>
            <w:r w:rsidRPr="00807D20">
              <w:rPr>
                <w:rFonts w:ascii="Times New Roman" w:hAnsi="Times New Roman"/>
                <w:sz w:val="22"/>
                <w:szCs w:val="22"/>
              </w:rPr>
              <w:t>More than 12 months validity</w:t>
            </w:r>
          </w:p>
        </w:tc>
        <w:tc>
          <w:tcPr>
            <w:tcW w:w="4050" w:type="dxa"/>
          </w:tcPr>
          <w:p w:rsidR="007D3C63" w:rsidRPr="001B46EC" w:rsidRDefault="007D3C63" w:rsidP="00301346">
            <w:pPr>
              <w:rPr>
                <w:rFonts w:ascii="Times New Roman" w:hAnsi="Times New Roman"/>
                <w:b/>
                <w:sz w:val="22"/>
                <w:szCs w:val="22"/>
                <w:lang w:val="en-GB"/>
              </w:rPr>
            </w:pPr>
          </w:p>
        </w:tc>
        <w:tc>
          <w:tcPr>
            <w:tcW w:w="1134" w:type="dxa"/>
          </w:tcPr>
          <w:p w:rsidR="007D3C63" w:rsidRPr="001B46EC" w:rsidRDefault="007D3C63" w:rsidP="00301346">
            <w:pPr>
              <w:rPr>
                <w:rFonts w:ascii="Times New Roman" w:hAnsi="Times New Roman"/>
                <w:b/>
                <w:sz w:val="22"/>
                <w:szCs w:val="22"/>
                <w:lang w:val="en-GB"/>
              </w:rPr>
            </w:pPr>
          </w:p>
        </w:tc>
        <w:tc>
          <w:tcPr>
            <w:tcW w:w="952" w:type="dxa"/>
          </w:tcPr>
          <w:p w:rsidR="007D3C63" w:rsidRPr="001B46EC" w:rsidRDefault="007D3C63" w:rsidP="00301346">
            <w:pPr>
              <w:rPr>
                <w:rFonts w:ascii="Times New Roman" w:hAnsi="Times New Roman"/>
                <w:b/>
                <w:sz w:val="22"/>
                <w:szCs w:val="22"/>
                <w:lang w:val="en-GB"/>
              </w:rPr>
            </w:pPr>
          </w:p>
        </w:tc>
        <w:tc>
          <w:tcPr>
            <w:tcW w:w="1118" w:type="dxa"/>
            <w:gridSpan w:val="2"/>
          </w:tcPr>
          <w:p w:rsidR="007D3C63" w:rsidRPr="001B46EC" w:rsidRDefault="007D3C63" w:rsidP="00301346">
            <w:pPr>
              <w:rPr>
                <w:rFonts w:ascii="Times New Roman" w:hAnsi="Times New Roman"/>
                <w:b/>
                <w:sz w:val="22"/>
                <w:szCs w:val="22"/>
                <w:lang w:val="en-GB"/>
              </w:rPr>
            </w:pPr>
          </w:p>
        </w:tc>
        <w:tc>
          <w:tcPr>
            <w:tcW w:w="2244" w:type="dxa"/>
          </w:tcPr>
          <w:p w:rsidR="007D3C63" w:rsidRPr="001B46EC" w:rsidRDefault="007D3C63" w:rsidP="00301346">
            <w:pPr>
              <w:rPr>
                <w:rFonts w:ascii="Times New Roman" w:hAnsi="Times New Roman"/>
                <w:b/>
                <w:sz w:val="22"/>
                <w:szCs w:val="22"/>
                <w:lang w:val="en-GB"/>
              </w:rPr>
            </w:pPr>
          </w:p>
        </w:tc>
        <w:tc>
          <w:tcPr>
            <w:tcW w:w="2126" w:type="dxa"/>
          </w:tcPr>
          <w:p w:rsidR="007D3C63" w:rsidRPr="001B46EC" w:rsidRDefault="007D3C63" w:rsidP="00301346">
            <w:pPr>
              <w:tabs>
                <w:tab w:val="left" w:pos="729"/>
              </w:tabs>
              <w:jc w:val="center"/>
              <w:rPr>
                <w:rFonts w:ascii="Times New Roman" w:hAnsi="Times New Roman"/>
                <w:b/>
                <w:sz w:val="22"/>
                <w:szCs w:val="22"/>
                <w:lang w:val="en-GB"/>
              </w:rPr>
            </w:pPr>
          </w:p>
        </w:tc>
      </w:tr>
    </w:tbl>
    <w:p w:rsidR="00104DB7" w:rsidRPr="001B46EC" w:rsidRDefault="00104DB7" w:rsidP="005C4176">
      <w:pPr>
        <w:spacing w:before="0"/>
        <w:ind w:left="567" w:hanging="567"/>
        <w:rPr>
          <w:rFonts w:ascii="Times New Roman" w:hAnsi="Times New Roman"/>
          <w:sz w:val="22"/>
          <w:szCs w:val="22"/>
          <w:lang w:val="en-GB"/>
        </w:rPr>
      </w:pPr>
    </w:p>
    <w:sectPr w:rsidR="00104DB7" w:rsidRPr="001B46EC" w:rsidSect="00D10EF9">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25" w:rsidRDefault="00B70B25">
      <w:r>
        <w:separator/>
      </w:r>
    </w:p>
  </w:endnote>
  <w:endnote w:type="continuationSeparator" w:id="0">
    <w:p w:rsidR="00B70B25" w:rsidRDefault="00B7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85" w:rsidRPr="00C4214C" w:rsidRDefault="004D0651"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2021</w:t>
    </w:r>
    <w:r w:rsidR="00E67C46">
      <w:rPr>
        <w:rFonts w:ascii="Times New Roman" w:hAnsi="Times New Roman"/>
        <w:b/>
        <w:sz w:val="18"/>
        <w:lang w:val="en-GB"/>
      </w:rPr>
      <w:t>.1</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C45BD3">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C45BD3">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580" w:rsidRPr="00C4214C" w:rsidRDefault="00C4278D"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72C5B">
      <w:rPr>
        <w:rFonts w:ascii="Times New Roman" w:hAnsi="Times New Roman"/>
        <w:b/>
        <w:sz w:val="18"/>
        <w:lang w:val="en-GB"/>
      </w:rPr>
      <w:t>2021</w:t>
    </w:r>
    <w:r w:rsidR="00E67C46">
      <w:rPr>
        <w:rFonts w:ascii="Times New Roman" w:hAnsi="Times New Roman"/>
        <w:b/>
        <w:sz w:val="18"/>
        <w:lang w:val="en-GB"/>
      </w:rPr>
      <w:t>.1</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C45BD3">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C45BD3">
      <w:rPr>
        <w:rFonts w:ascii="Times New Roman" w:hAnsi="Times New Roman"/>
        <w:noProof/>
        <w:sz w:val="18"/>
        <w:szCs w:val="18"/>
        <w:lang w:val="en-GB"/>
      </w:rPr>
      <w:t>2</w:t>
    </w:r>
    <w:r w:rsidR="00B25580" w:rsidRPr="00C4214C">
      <w:rPr>
        <w:rFonts w:ascii="Times New Roman" w:hAnsi="Times New Roman"/>
        <w:sz w:val="18"/>
        <w:szCs w:val="18"/>
      </w:rPr>
      <w:fldChar w:fldCharType="end"/>
    </w:r>
  </w:p>
  <w:p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25" w:rsidRDefault="00B70B25">
      <w:r>
        <w:separator/>
      </w:r>
    </w:p>
  </w:footnote>
  <w:footnote w:type="continuationSeparator" w:id="0">
    <w:p w:rsidR="00B70B25" w:rsidRDefault="00B70B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46" w:rsidRDefault="00E67C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3450F"/>
    <w:rsid w:val="000021E1"/>
    <w:rsid w:val="00006CE7"/>
    <w:rsid w:val="00034B1D"/>
    <w:rsid w:val="00040CF1"/>
    <w:rsid w:val="00041516"/>
    <w:rsid w:val="000417E2"/>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009C"/>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66367"/>
    <w:rsid w:val="001766D9"/>
    <w:rsid w:val="00181980"/>
    <w:rsid w:val="00187253"/>
    <w:rsid w:val="001905EC"/>
    <w:rsid w:val="001932AF"/>
    <w:rsid w:val="001937B4"/>
    <w:rsid w:val="001A3CB9"/>
    <w:rsid w:val="001B46EC"/>
    <w:rsid w:val="001B5454"/>
    <w:rsid w:val="001D0532"/>
    <w:rsid w:val="001E4648"/>
    <w:rsid w:val="001F5421"/>
    <w:rsid w:val="00211E0F"/>
    <w:rsid w:val="00216F0D"/>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2068"/>
    <w:rsid w:val="002C649A"/>
    <w:rsid w:val="002D2FC0"/>
    <w:rsid w:val="002F1222"/>
    <w:rsid w:val="002F2A9C"/>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1C7A"/>
    <w:rsid w:val="003D3CAA"/>
    <w:rsid w:val="003D7611"/>
    <w:rsid w:val="003F2FA4"/>
    <w:rsid w:val="003F3B51"/>
    <w:rsid w:val="003F7DB7"/>
    <w:rsid w:val="0040221E"/>
    <w:rsid w:val="00420666"/>
    <w:rsid w:val="00426276"/>
    <w:rsid w:val="004300D4"/>
    <w:rsid w:val="004316F0"/>
    <w:rsid w:val="004554CB"/>
    <w:rsid w:val="004775D2"/>
    <w:rsid w:val="00481A2B"/>
    <w:rsid w:val="00483E26"/>
    <w:rsid w:val="00496BB4"/>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2C5B"/>
    <w:rsid w:val="00677500"/>
    <w:rsid w:val="0068247E"/>
    <w:rsid w:val="00684176"/>
    <w:rsid w:val="006917B2"/>
    <w:rsid w:val="00694D46"/>
    <w:rsid w:val="006B0AB1"/>
    <w:rsid w:val="006B5A0E"/>
    <w:rsid w:val="006C2F05"/>
    <w:rsid w:val="006E56FD"/>
    <w:rsid w:val="006E6880"/>
    <w:rsid w:val="00702D85"/>
    <w:rsid w:val="00711C72"/>
    <w:rsid w:val="00715AD3"/>
    <w:rsid w:val="00724B35"/>
    <w:rsid w:val="0073450F"/>
    <w:rsid w:val="0075384B"/>
    <w:rsid w:val="00777E99"/>
    <w:rsid w:val="0078178B"/>
    <w:rsid w:val="00792A1B"/>
    <w:rsid w:val="007B65DB"/>
    <w:rsid w:val="007C0BDD"/>
    <w:rsid w:val="007C1656"/>
    <w:rsid w:val="007C75E0"/>
    <w:rsid w:val="007D228F"/>
    <w:rsid w:val="007D3C63"/>
    <w:rsid w:val="007D5FA2"/>
    <w:rsid w:val="007E3D5F"/>
    <w:rsid w:val="007E53F9"/>
    <w:rsid w:val="00806CE0"/>
    <w:rsid w:val="00807D20"/>
    <w:rsid w:val="00811F58"/>
    <w:rsid w:val="00822CBC"/>
    <w:rsid w:val="008358F3"/>
    <w:rsid w:val="00853F9D"/>
    <w:rsid w:val="008552E8"/>
    <w:rsid w:val="0085667F"/>
    <w:rsid w:val="008617F3"/>
    <w:rsid w:val="008766DD"/>
    <w:rsid w:val="008808CB"/>
    <w:rsid w:val="00882B76"/>
    <w:rsid w:val="008859E6"/>
    <w:rsid w:val="00891D6E"/>
    <w:rsid w:val="008A39B7"/>
    <w:rsid w:val="008B5A9D"/>
    <w:rsid w:val="008D4F38"/>
    <w:rsid w:val="008E40E2"/>
    <w:rsid w:val="008F198A"/>
    <w:rsid w:val="008F25C7"/>
    <w:rsid w:val="00920A51"/>
    <w:rsid w:val="00922542"/>
    <w:rsid w:val="0093582A"/>
    <w:rsid w:val="0094670B"/>
    <w:rsid w:val="00955876"/>
    <w:rsid w:val="00976745"/>
    <w:rsid w:val="00980A42"/>
    <w:rsid w:val="009938A4"/>
    <w:rsid w:val="009976B3"/>
    <w:rsid w:val="009A3792"/>
    <w:rsid w:val="009B0CF1"/>
    <w:rsid w:val="009B2F1F"/>
    <w:rsid w:val="009B422E"/>
    <w:rsid w:val="009B4D6F"/>
    <w:rsid w:val="009C0E86"/>
    <w:rsid w:val="009C359E"/>
    <w:rsid w:val="009D2938"/>
    <w:rsid w:val="009E6BB7"/>
    <w:rsid w:val="009F1BCE"/>
    <w:rsid w:val="00A039CA"/>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B25"/>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45BD3"/>
    <w:rsid w:val="00C55B44"/>
    <w:rsid w:val="00C60CB7"/>
    <w:rsid w:val="00C61312"/>
    <w:rsid w:val="00C720C8"/>
    <w:rsid w:val="00C75CCE"/>
    <w:rsid w:val="00C92434"/>
    <w:rsid w:val="00CA1354"/>
    <w:rsid w:val="00CA6C68"/>
    <w:rsid w:val="00CC7DE2"/>
    <w:rsid w:val="00CD7F25"/>
    <w:rsid w:val="00CF46AD"/>
    <w:rsid w:val="00CF6CFA"/>
    <w:rsid w:val="00CF7AAC"/>
    <w:rsid w:val="00D10EF9"/>
    <w:rsid w:val="00D24893"/>
    <w:rsid w:val="00D43612"/>
    <w:rsid w:val="00D43C88"/>
    <w:rsid w:val="00D46B53"/>
    <w:rsid w:val="00D52CBF"/>
    <w:rsid w:val="00D576CA"/>
    <w:rsid w:val="00D66F04"/>
    <w:rsid w:val="00D75213"/>
    <w:rsid w:val="00D83D1B"/>
    <w:rsid w:val="00D90051"/>
    <w:rsid w:val="00D953F2"/>
    <w:rsid w:val="00D979C6"/>
    <w:rsid w:val="00DA4AB8"/>
    <w:rsid w:val="00DB3C0F"/>
    <w:rsid w:val="00DB4524"/>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67C46"/>
    <w:rsid w:val="00E730A5"/>
    <w:rsid w:val="00E811F3"/>
    <w:rsid w:val="00E85F91"/>
    <w:rsid w:val="00E92A2A"/>
    <w:rsid w:val="00EB1E06"/>
    <w:rsid w:val="00EB4039"/>
    <w:rsid w:val="00EC33E4"/>
    <w:rsid w:val="00ED531E"/>
    <w:rsid w:val="00EE0ED9"/>
    <w:rsid w:val="00EE2E55"/>
    <w:rsid w:val="00F02006"/>
    <w:rsid w:val="00F0574A"/>
    <w:rsid w:val="00F12A62"/>
    <w:rsid w:val="00F15393"/>
    <w:rsid w:val="00F169AE"/>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A6122"/>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8703D6-4E90-4348-8AFF-6F95910F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C23-9F94-488A-BA49-FBB55F3A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9F87C-0AAE-4253-8FF9-2BE03FB8A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F76283-C0D6-4E01-8643-33B68EEF044A}">
  <ds:schemaRefs>
    <ds:schemaRef ds:uri="http://schemas.microsoft.com/sharepoint/v3/contenttype/forms"/>
  </ds:schemaRefs>
</ds:datastoreItem>
</file>

<file path=customXml/itemProps4.xml><?xml version="1.0" encoding="utf-8"?>
<ds:datastoreItem xmlns:ds="http://schemas.openxmlformats.org/officeDocument/2006/customXml" ds:itemID="{3067623B-E72C-40FC-9DE4-6E4C49EAA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cuamm</cp:lastModifiedBy>
  <cp:revision>24</cp:revision>
  <cp:lastPrinted>2012-09-24T10:13:00Z</cp:lastPrinted>
  <dcterms:created xsi:type="dcterms:W3CDTF">2018-12-18T11:40:00Z</dcterms:created>
  <dcterms:modified xsi:type="dcterms:W3CDTF">2022-12-05T19:12:00Z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